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RT120100 vom 5. Juli 2012</w:t>
      </w:r>
    </w:p>
    <w:p>
      <w:r>
        <w:t>ZH Obergericht, 2012-07-05, DE</w:t>
      </w:r>
    </w:p>
    <w:p>
      <w:r>
        <w:rPr>
          <w:b/>
        </w:rPr>
        <w:t xml:space="preserve">Quelle: </w:t>
      </w:r>
      <w:r>
        <w:t>https://mcp.opencaselaw.ch/entscheid/zh_obergericht_RT120100</w:t>
      </w:r>
    </w:p>
    <w:p>
      <w:r>
        <w:t>FR: ZH_OBERGERICHT RT120100 du 5 juillet 2012</w:t>
      </w:r>
    </w:p>
    <w:p>
      <w:r>
        <w:t>IT: ZH_OBERGERICHT RT120100 del 5 luglio 2012</w:t>
      </w:r>
    </w:p>
    <w:p>
      <w:pPr>
        <w:pStyle w:val="Heading2"/>
      </w:pPr>
      <w:r>
        <w:t>Erwägungen</w:t>
      </w:r>
    </w:p>
    <w:p>
      <w:r>
        <w:rPr>
          <w:b/>
        </w:rPr>
        <w:t>E. 1</w:t>
      </w:r>
    </w:p>
    <w:p>
      <w:r>
        <w:t>a) Mit Urteil vom 22. Mai 2012 erteilte die Vorinstanz den Klägern in der Betreibung Nr. … des Betreibungsamts C._____ (Zahlungsbefehl vom 15. Februar 2012) für ausstehende Staats- und Gemeindesteuern der Jahre 2003 bis 2009 definitive Rechtsöffnung für Fr. 36'537.50 nebst Zins zu 4.5 % ab 14. Febru- ar 2012, für Fr. 1'268.95 Zins bis Schlussrechnung und für Fr. 6'255.90 Zins bis 14. Februar 2012; die Kosten- und Entschädigungsfolgen wurden zu Lasten des Beklagten geregelt (Urk. 28). b) Hiergegen hat der Beklagte am 21. Juni 2012 (Poststempel 20. Juni 2012) fristgerecht Beschwerde erhoben und stellt die Beschwerdeanträge (Urk. 27; Urk. 26/2): "- Ich A._____ stelle den Antrag für eine kostenlose Prozessführung. (Für diese Beschwerde vor der Zivilkammer- Obergericht.) - Ich A._____ stelle den Antrag für eine neue Stundungsvereinbarung mit dem Steueramt B._____, sowie eine neue Abmachung der à conto Zah- lungen. - Löschung des Zahlungsbefehl Nr. … des Betreibungsamtes C._____. - Erlass der festgesetzten Spruchgebühr von Fr. 500.00. - Erlass der Parteientschädigung von Fr. 100.00. Ich bitte Sie diese Beschwerde und das Urteil des Bezirksgericht Dielsdorf zu prüfen und einen neuen Entscheid zu fällen."</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Der Beklagte beschwert sich nicht über das vorinstanzliche Urteil in der Sache selbst. Er beantragt lediglich eine neue Stundungsvereinbarung mit dem Steueramt B._____ sowie eine neue Abmachung der à conto Zahlungen (Urk. 27 S. 2) Eine neue Stundungsvereinbarung mit dem Steueramt B._____ oder eine Abmachung über à conto Zahlungen kann indes nur mittels einer Vereinba- rung zwischen dem Steueramt B._____ und dem Beklagten erwirkt werden und</w:t>
      </w:r>
    </w:p>
    <w:p>
      <w:r>
        <w:t>- 3 - nicht durch das Gericht auf dem Beschwerdeweg angeordnet werden. Insoweit ist die erkennende Instanz nicht zuständig. Da der Beklagte ansonsten den Entscheid in der Sache selbst nicht bean- standet, gibt es keinen Anlass, die beantragte Löschung des Zahlungsbefehls Nr. … des Betreibungsamtes C._____ zu veranlassen, noch die dem Beklagten auf- erlegte Spruchgebühr von Fr. 500.– oder die festgesetzte Parteientschädigung zu erlassen. Insgesamt ist daher die Beschwerde abzuweisen.</w:t>
      </w:r>
    </w:p>
    <w:p>
      <w:r>
        <w:rPr>
          <w:b/>
        </w:rPr>
        <w:t>E. 4</w:t>
      </w:r>
    </w:p>
    <w:p>
      <w:r>
        <w:t>a) Die Gerichtskosten des Beschwerdeverfahrens sind in Anwen- dung von Art. 48 i.V.m. Art. 61 Abs. 1 GebV SchKG auf Fr. 300.– festzulegen und ausgangsgemäss dem Beklagten aufzuerlegen (Art. 106 Abs. 1 ZPO). b) Der Beklagte hat ein Gesuch um unentgeltliche Rechtspflege gestellt (Urk. 27 S. 2). Dieses ist jedoch zufolge Aussichtslosigkeit der Beschwerde (vgl. vorstehende Erwägungen) abzuweisen (Art. 117 lit. b ZPO). c) Den Klägern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