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RT120059 vom 4. April 2012</w:t>
      </w:r>
    </w:p>
    <w:p>
      <w:r>
        <w:t>ZH Obergericht, 2012-04-04, DE</w:t>
      </w:r>
    </w:p>
    <w:p>
      <w:r>
        <w:rPr>
          <w:b/>
        </w:rPr>
        <w:t xml:space="preserve">Quelle: </w:t>
      </w:r>
      <w:r>
        <w:t>https://mcp.opencaselaw.ch/entscheid/zh_obergericht_RT120059</w:t>
      </w:r>
    </w:p>
    <w:p>
      <w:r>
        <w:t>FR: ZH_OBERGERICHT RT120059 du 4 avril 2012</w:t>
      </w:r>
    </w:p>
    <w:p>
      <w:r>
        <w:t>IT: ZH_OBERGERICHT RT120059 del 4 aprile 2012</w:t>
      </w:r>
    </w:p>
    <w:p>
      <w:pPr>
        <w:pStyle w:val="Heading2"/>
      </w:pPr>
      <w:r>
        <w:t>Erwägungen</w:t>
      </w:r>
    </w:p>
    <w:p>
      <w:r>
        <w:rPr>
          <w:b/>
        </w:rPr>
        <w:t>E. 1</w:t>
      </w:r>
    </w:p>
    <w:p>
      <w:r>
        <w:t>a) Die Parteien stehen sich vor Vorinstanz in einem Rechtsöff- nungsverfahren gegenüber. Mit Verfügung vom 21. März 2012 wies die Vo- rinstanz das Verschiebungsgesuch der Beklagten ab und hielt fest, dass die Hauptverhandlung am 30. März 2012 um 8.30 Uhr stattfinde (Urk. 2). Die Ver- handlung fand am 30. März 2012 vor Vorinstanz statt, die Beklagte ist nicht er- schienen (Prot. I S. 6). b) Gegen die Verfügung vom 21. März 2012 erhob die Beklagte am 2. Ap- ril 2012 (Poststempel 30. März 2012) rechtzeitig Beschwerde und stellte die Be- schwerdeanträge (Urk. 1; Urk. 6/14): "1. Es sei die Verfügung des Bezirksgerichts Dielsdorf vom 21. März 2012 aufzuheben und es sei die Sache an die Vorinstanz zur Absprache und Festsetzung eines neuen Verhandlungstermins betreffend Rechtsöff- nung zurück zu weisen.</w:t>
      </w:r>
    </w:p>
    <w:p>
      <w:r>
        <w:rPr>
          <w:b/>
        </w:rPr>
        <w:t>E. 2</w:t>
      </w:r>
    </w:p>
    <w:p>
      <w:r>
        <w:t>Es sei der vorliegenden Beschwerde die aufschiebende Wirkung zu er- teilen.</w:t>
      </w:r>
    </w:p>
    <w:p>
      <w:r>
        <w:rPr>
          <w:b/>
        </w:rPr>
        <w:t>E. 3</w:t>
      </w:r>
    </w:p>
    <w:p>
      <w:r>
        <w:t>Der angefochtene Entscheid kann mit Beschwerde nur angefochten werden, wenn durch ihn ein nicht leicht wiedergutzumachender Nachteil droht (Art. 319 lit. b Ziffer 2 ZPO). Die Beklagte macht einerseits geltend, dass hinsichtlich der Terminabspra- chen für die Hauptverhandlung Missverständnisse vorgelegen hätten und sie an- derseits nie eine formelle Vorladung für den Verhandlungstermin vom 20. März 2012 [recte: 30. März 2012] erhalten habe (Urk. 1 S. 3 und S. 4).</w:t>
      </w:r>
    </w:p>
    <w:p>
      <w:r>
        <w:t>- 3 - Die Vorinstanz hält selber fest, dass die Vorladung trotz bestehendem Ver- tretungsverhältnis zunächst zweimal erfolglos an die Geschäftsadresse der Be- klagten zugestellt worden sei. Die Vorinstanz erachtete diesen Mangel als geheilt, indem sie am 19. März 2012 mit dem Vertreter der Beklagten telefonisch Kontakt aufgenommen habe (Urk. 2 S. 2f.). Der Einwand des Vertreters der Beklagten, dass durch die nicht ordnungs- gemässe Zustellung der Vorladung der nicht ordnungsgemässe Entscheid ungül- tig sei und keinerlei Rechtswirkungen entfalte (Urk. 1 S. 5), kann dieser in einer Beschwerde gegen den Rechtsöffnungsentscheid vorbringen, sofern ein solcher ergangen und sofern die Beklagte durch diesen Entscheid beschwert sein sollte. Es ist daher nicht ersichtlich, inwiefern der Beklagten im derzeitigen Zeitpunkt [nach durchgeführter Hauptverhandlung] ein nicht leicht wiedergutzumachender Nachteil droht, wenn die angefochtene prozessleitende Verfügung so Bestand hat. Demzufolge ist auf die Beschwerde nicht einzutreten. Damit erübrigt es sich, über den Antrag um Erteilung der aufschiebenden Wirkung der Beschwerde zu urteilen.</w:t>
      </w:r>
    </w:p>
    <w:p>
      <w:r>
        <w:rPr>
          <w:b/>
        </w:rPr>
        <w:t>E. 4</w:t>
      </w:r>
    </w:p>
    <w:p>
      <w:r>
        <w:t>a) Die Gerichtskosten des Beschwerdeverfahrens sind in An- wendung von Art. 48 i.V.m. Art. 61 Abs. 1 GebV SchKG auf Fr. 300.– festzulegen und ausgangsgemäss der Beklagten aufzuerlegen (Art. 106 Abs. 1 ZPO). b)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