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RT120051 vom 17. April 2012</w:t>
      </w:r>
    </w:p>
    <w:p>
      <w:r>
        <w:t>ZH Obergericht, 2012-04-17, DE</w:t>
      </w:r>
    </w:p>
    <w:p>
      <w:r>
        <w:rPr>
          <w:b/>
        </w:rPr>
        <w:t xml:space="preserve">Quelle: </w:t>
      </w:r>
      <w:r>
        <w:t>https://mcp.opencaselaw.ch/entscheid/zh_obergericht_RT120051</w:t>
      </w:r>
    </w:p>
    <w:p>
      <w:r>
        <w:t>FR: ZH_OBERGERICHT RT120051 du 17 avril 2012</w:t>
      </w:r>
    </w:p>
    <w:p>
      <w:r>
        <w:t>IT: ZH_OBERGERICHT RT120051 del 17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17. Januar 2012 erteilte die Vorinstanz dem Kläger in der Betreibung Nr. ... des Betreibungsamts B._____ (Zahlungsbefehl vom 4. Mai 2011) – gestützt auf eine Veranlagungsverfügung des Klägers für Steuerfor- derungen – definitive Rechtsöffnung für Fr. 2'850.40 und für die Betreibungskos- ten sowie für Kosten und Entschädigung gemäss diesem Entscheid; im Mehrbe- trag wurde das Begehren – der Kläger hatte definitive Rechtsöffnung für Fr. 4'147.85 sowie Fr. 50.-- Kosten/Gebühren und Betreibungskosten verlangt – ab- gewiesen (Urk. 20). b) Hiergegen hat der Kläger am 23. März 2012 fristgerecht (vgl. Urk. 18) Beschwerde erhoben und stellt die Beschwerdeanträge (Urk. 19 S. 2): "1. Das Urteil des Bezirksgerichts Bülach vom 17. Januar 2012 sei aufzu- heben.</w:t>
      </w:r>
    </w:p>
    <w:p>
      <w:r>
        <w:rPr>
          <w:b/>
        </w:rPr>
        <w:t>E. 2</w:t>
      </w:r>
    </w:p>
    <w:p>
      <w:r>
        <w:t>Es sei in der Betreibung Nr. ... des Betreibungsamtes B._____ (Zah- lungsbefehl vom 4. Mai 2011) die definitive Rechtsöffnung zu erteilen für CHF 4'147.85, für Mahngebühren von CHF 50.00 (Umtriebsgebühr für Inkassomassnahmen) sowie für die Betreibungskosten unter Kos- ten- und Entschädigungsfolgen zu Lasten der beklagten Partei.</w:t>
      </w:r>
    </w:p>
    <w:p>
      <w:r>
        <w:rPr>
          <w:b/>
        </w:rPr>
        <w:t>E. 3</w:t>
      </w:r>
    </w:p>
    <w:p>
      <w:r>
        <w:t>Es sei eine Parteientschädigung zuzusprechen im Betrag von CHF 250.00.</w:t>
      </w:r>
    </w:p>
    <w:p>
      <w:r>
        <w:rPr>
          <w:b/>
        </w:rPr>
        <w:t>E. 4</w:t>
      </w:r>
    </w:p>
    <w:p>
      <w:r>
        <w:t>a) Im Beschwerdeverfahren waren Fr. 1'347.45 (Fr. 4'147.85 plus Fr. 50.-- minus Fr. 2'850.40) umstritten. Die Entscheidgebühr für das Beschwer- deverfahren ist in Anwendung von Art. 48 i.V.m. Art. 61 Abs. 1 GebV SchKG (vgl.</w:t>
      </w:r>
    </w:p>
    <w:p>
      <w:r>
        <w:t>- 5 - ZR 110/2011 Nr. 28) auf Fr. 300.– festzusetzen. Die Gerichtskosten sind aus- gangsgemäss dem Kläger aufzuerlegen (Art. 106 Abs. 1 ZPO). b) Dem Beklagten ist mangels relevanter Umtriebe im Beschwerdeverfah- ren keine Parteientschädigung zuzusprechen (vgl.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