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RT120043 vom 22. März 2012</w:t>
      </w:r>
    </w:p>
    <w:p>
      <w:r>
        <w:t>ZH Obergericht, 2012-03-22, DE</w:t>
      </w:r>
    </w:p>
    <w:p>
      <w:r>
        <w:rPr>
          <w:b/>
        </w:rPr>
        <w:t xml:space="preserve">Quelle: </w:t>
      </w:r>
      <w:r>
        <w:t>https://mcp.opencaselaw.ch/entscheid/zh_obergericht_RT120043</w:t>
      </w:r>
    </w:p>
    <w:p>
      <w:r>
        <w:t>FR: ZH_OBERGERICHT RT120043 du 22 mars 2012</w:t>
      </w:r>
    </w:p>
    <w:p>
      <w:r>
        <w:t>IT: ZH_OBERGERICHT RT120043 del 22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Mit Urteil vom 21. Februar 2012 wies die Vorinstanz das Gesuch der Klägerin 1 und Beschwerdeführerin 1 (fortan Klägerin 1) um Erteilung der Rechtsöffnung in der Betreibung Nr. … des Betreibungsamtes D._____ (Zah- lungsbefehl vom 7. Dezember 2011) für ausstehende Unterhaltsbeiträge ab. Mit gleichem Urteil trat sie auf das Rechtsöffnungsbegehren der Klägerin 2 und Be- schwerdeführerin 2 (fortan Klägerin 2) in derselben Betreibung nicht ein. Die Kos- ten- und Entschädigungsfolgen wurden zu Lasten der beiden Klägerinnen gere- gelt (Urk. 6 S. 4). b) Hiergegen haben die Klägerinnen am 5. März 2012, eingegangen am</w:t>
      </w:r>
    </w:p>
    <w:p>
      <w:r>
        <w:rPr>
          <w:b/>
        </w:rPr>
        <w:t>E. 6</w:t>
      </w:r>
    </w:p>
    <w:p>
      <w:r>
        <w:t>a) Beim vorliegenden Ausgang des Verfahrens wären die Kosten des zweitinstanzlichen Verfahrens ausgangsgemäss den Klägerinnen aufzuerle- gen (Art. 106 Abs. 1 ZPO). Allerdings ist vorliegend folgendes zu berücksichtigen: In der Tat hat der Vertreter der Klägerinnen im Betreibungsbegehren beide Gläu- bigerinnen aufgeführt (Urk. 8/2). Warum nun das Betreibungsamt lediglich eine</w:t>
      </w:r>
    </w:p>
    <w:p>
      <w:r>
        <w:t>- 5 - Gläubigerin im Zahlungsbefehl, aber den gesamten Betrag von Fr. 7'200.– aufge- führt hat, ist nicht nachvollziehbar, wurde doch kein zweiter Zahlungsbefehl aus- gestellt. Ebenso hat das Betreibungsamt die Periode, für welche die Unterhalts- forderungen verlangt wurden, nicht aufgenommen, obschon dies von Seiten der Klägerinnen im Betreibungsbegehren aufgeführt worden war. Damit hat das Be- treibungsamt den Zahlungsbefehl in mehrfacher Hinsicht fehlerhaft ausgestellt. Wie erwähnt aber hätten die Klägerinnen den mangelhaften Zahlungsbefehl an- fechten müssen, was sie nicht getan haben. Sie haben den Fehler erst nachträg- lich – nach Erhalt des Urteils vom 21. Februar 2012 – mit Schreiben vom 27. Feb- ruar 2012 und vom 1. März 2012 beim Betreibungsamt moniert (Urk. 8/6-7). In Anbetracht der gesamten Umstände rechtfertigt es sich vorliegend, mit Blick auf Art. 107 Abs. 1 lit. f ZPO für das zweitinstanzliche Verfahren keine Kosten zu er- heben. b) Dem Beschwerdegegner und Beklagten (fortan Beklagter) ist mangels relevanter Umtriebe im Beschwerdeverfahren keine Parteientschädigung zuzu- sprechen (vgl. Art. 95 Abs. 3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