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RT120036 vom 16. Juli 2012</w:t>
      </w:r>
    </w:p>
    <w:p>
      <w:r>
        <w:t>ZH Obergericht, 2012-07-16, DE</w:t>
      </w:r>
    </w:p>
    <w:p>
      <w:r>
        <w:rPr>
          <w:b/>
        </w:rPr>
        <w:t xml:space="preserve">Quelle: </w:t>
      </w:r>
      <w:r>
        <w:t>https://mcp.opencaselaw.ch/entscheid/zh_obergericht_RT120036</w:t>
      </w:r>
    </w:p>
    <w:p>
      <w:r>
        <w:t>FR: ZH_OBERGERICHT RT120036 du 16 juillet 2012</w:t>
      </w:r>
    </w:p>
    <w:p>
      <w:r>
        <w:t>IT: ZH_OBERGERICHT RT120036 del 16 luglio 2012</w:t>
      </w:r>
    </w:p>
    <w:p>
      <w:pPr>
        <w:pStyle w:val="Heading2"/>
      </w:pPr>
      <w:r>
        <w:t>Erwägungen</w:t>
      </w:r>
    </w:p>
    <w:p>
      <w:r>
        <w:rPr>
          <w:b/>
        </w:rPr>
        <w:t>E. 1</w:t>
      </w:r>
    </w:p>
    <w:p>
      <w:r>
        <w:t>Sachverhalt / Prozessgeschichte Mit Urteil vom 1. Februar 2012 erteilte die Vorinstanz dem Kläger und Be- schwerdegegner (fortan Kläger) in der Betreibung Nr. … des Betreibungs- amtes C._____ provisorische Rechtsöffnung für Fr. 860'000.– zuzüglich Zin- sen und Kosten (Urk. 24). Gegen diesen Entscheid erhob der Beklagte und Beschwerdeführer (fortan Beklagter) mit Eingabe vom 27. Februar 2012 rechtzeitig Beschwerde mit folgenden Anträgen (Urk. 23): "1. Es sei der vorinstanzliche Entscheid vollumfänglich aufzuheben.</w:t>
      </w:r>
    </w:p>
    <w:p>
      <w:r>
        <w:rPr>
          <w:b/>
        </w:rPr>
        <w:t>E. 2</w:t>
      </w:r>
    </w:p>
    <w:p>
      <w:r>
        <w:t>Das Rechtsöffnungsbegehren des Klägers und Beschwerdegegners sei vollumfänglich abzuweisen.</w:t>
      </w:r>
    </w:p>
    <w:p>
      <w:r>
        <w:rPr>
          <w:b/>
        </w:rPr>
        <w:t>E. 3</w:t>
      </w:r>
    </w:p>
    <w:p>
      <w:r>
        <w:t>Eventualiter, es sei das Rechtsöffnungsbegehren des Klägers und Be- schwerdegegners an die Vorinstanz zurückzuweisen.</w:t>
      </w:r>
    </w:p>
    <w:p>
      <w:r>
        <w:rPr>
          <w:b/>
        </w:rPr>
        <w:t>E. 4</w:t>
      </w:r>
    </w:p>
    <w:p>
      <w:r>
        <w:t>Es sei der Beschwerde die aufschiebende Wirkung zu erteilen und ein allfälliger Antrag des Klägers und Beschwerdegegners auf vorläufige Vollstreckung sei abzuweisen.</w:t>
      </w:r>
    </w:p>
    <w:p>
      <w:r>
        <w:rPr>
          <w:b/>
        </w:rPr>
        <w:t>E. 5</w:t>
      </w:r>
    </w:p>
    <w:p>
      <w:r>
        <w:t>Eventualiter, es sei die vorläufige Vollstreckung von der Leistung einer angemessenen Sicherheit abhängig zu machen.</w:t>
      </w:r>
    </w:p>
    <w:p>
      <w:r>
        <w:rPr>
          <w:b/>
        </w:rPr>
        <w:t>E. 6</w:t>
      </w:r>
    </w:p>
    <w:p>
      <w:r>
        <w:t>Es sei dem Beklagten und Beschwerdeführer bei Antrag des Klägers und Beschwerdegegners auf vorläufige Vollstreckung Frist zu Stellung- nahme anzusetzen.</w:t>
      </w:r>
    </w:p>
    <w:p>
      <w:r>
        <w:rPr>
          <w:b/>
        </w:rPr>
        <w:t>E. 7</w:t>
      </w:r>
    </w:p>
    <w:p>
      <w:r>
        <w:t>Alles unter Kosten- und Entschädigungsfolgen (zuzüglich Mehrwert- steuer) zu Lasten des Klägers und Beschwerdegegners, eventualiter zu Lasten der Staatskasse." Mit Verfügung vom 1. März 2012 wurde sowohl der Antrag auf Aufschub der Vollstreckung des angefochtenen Entscheides wie auch derjenige auf Si- cherheitsleistung abgewiesen (Urk. 25). Der Kläger schloss mit Beschwer- deantwort vom 10. April 2012 auf Abweisung der Beschwerde unter Kosten- und Entschädigungsfolgen zulasten des Beklagten (Urk. 28). Die Rechts- schrift wurde dem Beklagten mit Verfügung vom 12. April 2012 zugestellt (Urk. 29). Der Beklagte nahm am 23. April 2012 unaufgefordert dazu Stellung mit fol- genden Anträgen (Urk. 30):</w:t>
      </w:r>
    </w:p>
    <w:p>
      <w:r>
        <w:t>- 3 - "1. Die vorliegende Eingabe sei zu den Akten zu nehmen und zu berück- sichtigen. 2. Eventualiter, es sei dem Beschwerdeführer Frist für eine Replik anzu- setzen, soweit die Beschwerdeantwort des Beschwerdegegners vom</w:t>
      </w:r>
    </w:p>
    <w:p>
      <w:r>
        <w:rPr>
          <w:b/>
        </w:rPr>
        <w:t>E. 10</w:t>
      </w:r>
    </w:p>
    <w:p>
      <w:r>
        <w:t>April 2012 als für den Entscheid beachtlich angesehen werden soll- te. 3. Alles unter Kosten- und Entschädigungsfolgen (zuzüglich Mehrwert- steuer) zu Lasten des Beschwerdegegners, eventualiter zu Lasten der Staatskasse." Mit dem Hinweis, dass im Beschwerdeverfahren keine Replik vorgesehen sei und Noven gemäss Art. 326 Abs. 1 ZPO unzulässig seien, wurde die Eingabe zur Kenntnisnahme an den Kläger zugestellt, worauf er mit Schrei- ben vom 30. April 2012 darum ersuchte, diese aus den Akten zu weisen (Urk. 33). Das Schreiben wurde dem Beklagten zur Kenntnisnahme zuge- stellt (Urk. 35). 2. Vergleich Mit Eingabe vom 13. Juni 2012 reichte der Beklagte folgende von den Par- teien am 21. Mai bzw. 6. Juni 2012 unterzeichnete Vereinbarung ein (Urk. 36 und Urk. 37): "1. Aus einem Darlehensvertrag resultiert eine Forderung des Herrn B._____ gegenüber Herrn A._____. Die Parteien einigen sich darauf, dass Herr A._____ Herrn B._____ den Betrag von CHF 680'000.00 (Schweizerfranken sechshundertachtzigtausend 00/00) schuldet. 2. Der Betrag wird 14 Tage nach Unterzeichnung der vorliegenden Ver- einbarung zur Rückzahlung fällig. Dieser Termin ist ein Verfalltag. Sollte die Rückzahlung verspätet erfolgen, so ist ohne Weiteres ein Verzugs- zins von 5 % pro Jahr geschuldet. 3. Die Rückzahlung erfolgt auf das Klientengelder Sammelkonto IBAN Nr. … bei der D._____, lautend auf Notar Y._____. 4. Die bisher aufgelaufenen Gerichtskosten (Verfahren vor Obergericht des Kantons Zürich, Geschäfts-Nr.: RT120036-0/Z04.doc) und allfälliger weiterer, trägt Herr A._____. Die Parteikosten werden wettgeschlagen. 5. Mit Vollzug dieser Vereinbarung erklären sich die Parteien im Bezug auf den eingangs genannten Darlehensvertrag als per Saldo aller Ansprüche auseinandergesetzt. 6. Diese Vereinbarung wird zweifach unterzeichnet."</w:t>
      </w:r>
    </w:p>
    <w:p>
      <w:r>
        <w:t>- 4 - Mit Verfügung vom 26. Juni 2012 wurde dem Kläger eine Frist von 10 Tagen angesetzt, um schriftlich zur beantragten Abschreibung Stellung zu nehmen. Zu- gleich wurden die Parteien darauf hingewiesen, dass aufgrund von Ziffer 4 der Vereinbarung wohl anzunehmen sei, dass der Beklagte sowohl die Kosten des erst- als auch des zweitinstanzlichen Verfahrens übernehme, und dass die Par- teien für beide Instanzen auf Prozessentschädigung verzichten (Urk. 38). Mit Schreiben vom 9. Juli 2012 teilte der Kläger mit, dass er mit dem Antrag des Be- klagten auf Abschreibung des Verfahrens gemäss Vereinbarung vom 21. März respektive 6. Juni 2012 einverstanden sei (Urk. 39). Ein Vergleich hat die Wirkung eines rechtskräftigen Entscheides (Art. 241 Abs. 2 ZPO). Der Prozess ist demzufolge abzuschreiben (Art. 241 Abs. 3 ZPO), unter vereinbarungsgemässer Regelung der Kosten- und Entschädigungsfolgen. Die zweitinstanzliche Entscheidgebühr ist auf Fr. 1'000.– festzusetzen (Art. 48 i.V.m. Art. 61 Abs. 1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