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RT120009 vom 23. Mai 2012</w:t>
      </w:r>
    </w:p>
    <w:p>
      <w:r>
        <w:t>ZH Obergericht, 2012-05-23, DE</w:t>
      </w:r>
    </w:p>
    <w:p>
      <w:r>
        <w:rPr>
          <w:b/>
        </w:rPr>
        <w:t xml:space="preserve">Quelle: </w:t>
      </w:r>
      <w:r>
        <w:t>https://mcp.opencaselaw.ch/entscheid/zh_obergericht_RT120009</w:t>
      </w:r>
    </w:p>
    <w:p>
      <w:r>
        <w:t>FR: ZH_OBERGERICHT RT120009 du 23 mai 2012</w:t>
      </w:r>
    </w:p>
    <w:p>
      <w:r>
        <w:t>IT: ZH_OBERGERICHT RT120009 del 23 maggio 2012</w:t>
      </w:r>
    </w:p>
    <w:p>
      <w:pPr>
        <w:pStyle w:val="Heading2"/>
      </w:pPr>
      <w:r>
        <w:t>Erwägungen</w:t>
      </w:r>
    </w:p>
    <w:p>
      <w:r>
        <w:rPr>
          <w:b/>
        </w:rPr>
        <w:t>E. 1</w:t>
      </w:r>
    </w:p>
    <w:p>
      <w:r>
        <w:t>a) Mit Urteil vom 14. November 2011, welches in begründeter Fas- sung den Parteien am 12. Januar 2012 zugestellt wurde (Urk. 17), erteilte die Vo- rinstanz dem Kläger in der Betreibung Nr. ... des Betreibungsamtes B._____ (Zahlungsbefehl vom 11. April 2011) definitive Rechtsöffnung für Gerichts- und Staatsgebühren gestützt auf die Entscheide der Staatsanwaltschaft Winterthur, des Bezirksgerichts Bülach und des Obergerichts in der Höhe von Fr. 4'360.75, Fr. 148.– Betreibungskosten sowie Kosten und Entschädigung gemäss jenes Ent- scheides (Urk. 19). b) Hiergegen erhob der Beklagte und Beschwerdeführer (fortan Be- klagter) mit Eingabe vom 22. Januar 2012, eingegangen am 25. Januar 2012, fristgerecht Beschwerde mit den folgenden Anträgen (Urk. 18 S. 14): "1. Das Rechtsöffnungsbegehren in der Betreibung Nr. … [recte: ...] des Betrei- bungsamtes B._____ (Zahlungsbefehl vom 11. April 2011) bzw. das Urteil des Bezirksgerichts Winterthur vom 14. November 2011 seien unverzüglich abzu- weisen, weil gesetzeswidrig.</w:t>
      </w:r>
    </w:p>
    <w:p>
      <w:r>
        <w:rPr>
          <w:b/>
        </w:rPr>
        <w:t>E. 2</w:t>
      </w:r>
    </w:p>
    <w:p>
      <w:r>
        <w:t>Die Kosten seien dem Kläger aufzuerlegen.</w:t>
      </w:r>
    </w:p>
    <w:p>
      <w:r>
        <w:rPr>
          <w:b/>
        </w:rPr>
        <w:t>E. 3</w:t>
      </w:r>
    </w:p>
    <w:p>
      <w:r>
        <w:t>Der Kläger sei zu verpflichten, dem Beklagten eine Parteientschädigung zu be- zahlen.</w:t>
      </w:r>
    </w:p>
    <w:p>
      <w:r>
        <w:rPr>
          <w:b/>
        </w:rPr>
        <w:t>E. 4</w:t>
      </w:r>
    </w:p>
    <w:p>
      <w:r>
        <w:t>a) Die Rechtsmittelinstanz hebt nach Art. 327 Abs. 3 lit. a ZPO den Entscheid auf und weist die Sache an die Vorinstanz zurück, soweit sie die Be- schwerde gutheisst. Sie kann jedoch auch selber neu entscheiden, sofern die Sa- che spruchreif ist (Art. 327 Abs. 3 lit. b ZPO). Spruchreif ist ein Verfahren in der Regel, wenn die Beschwerdeinstanz einzig Rechtsfragen zu entscheiden hat. Be- jaht die Beschwerdeinstanz jedoch eine Verletzung des rechtlichen Gehörs, muss dies aufgrund der formellen Natur dieses Anspruchs zur Rückweisung des Ver- fahren an die Vorinstanz führen, es sei denn, der Mangel könne ausnahmsweise im Rechtsmittelverfahren geheilt werden (Sutter-Somm/Hasenböhler/Leuenber- ger, Kommentar zur Schweizerischen Zivilprozessordnung, Zürich/Basel/Genf 2010, N 11 zu Art. 327 ZPO m.w.H.). b) Die Vorinstanz wird dem Beklagten das rechtliche Gehör im Rahmen einer erneuten Fristansetzung zur Stellungnahme zum Rechtsöffnungs- begehren des Klägers und in Bezug auf die vom Beklagten im Beschwerdeverfah- ren unberücksichtigt gebliebenen Unterlagen (Urk. 21/1-24) zu gewähren haben. Das Verfahren erweist sich demzufolge nicht als spruchreif und ist daher in An- wendung von Art. 327 Abs. 3 lit. a ZPO an die Vorinstanz zurückzuweisen.</w:t>
      </w:r>
    </w:p>
    <w:p>
      <w:r>
        <w:rPr>
          <w:b/>
        </w:rPr>
        <w:t>E. 5</w:t>
      </w:r>
    </w:p>
    <w:p>
      <w:r>
        <w:t>Der Beklagte ist für seine künftigen Eingaben an die Gerichte auf die Folgen einer ungebührlichen Rechtsschrift hinzuweisen (vgl. Beschwerdeschrift Urk. 18 S. 1, 3, 6 und 13): In dieser Form wird sie nicht bzw. erst nach einer Ver-</w:t>
      </w:r>
    </w:p>
    <w:p>
      <w:r>
        <w:t>- 5 - besserung, d.h. ohne ungebührlichen Inhalt, anhand zu nehmen sein, wobei bei versäumter Verbesserung die Eingabe als nicht erfolgt gilt (Art. 132 Abs. 2 ZPO).</w:t>
      </w:r>
    </w:p>
    <w:p>
      <w:r>
        <w:rPr>
          <w:b/>
        </w:rPr>
        <w:t>E. 6</w:t>
      </w:r>
    </w:p>
    <w:p>
      <w:r>
        <w:t>Ausgangsgemäss sind keine Kosten im Beschwerdeverfahren zu erhe- ben. Der Kläger verzichtete im Beschwerdeverfahren auf eine Beschwerdeantwort (Urk. 22). Er identifizierte sich damit nicht mit dem angefochtenen Entscheid. Zu- dem ist er nicht als unterliegende Partei zu betrachten und kann deshalb, entge- gen dem Antrag des Beklagten (Urk. 18 S. 14), nicht entschädigungspflichtig wer- den (Art. 107 Abs. 1 lit. f und Abs. 2 ZPO; Sutter-Somm/Hasenböhler/Leuenber- ger, a.a.O., N 22 zu Art. 107 ZPO und N 8 zu Art. 106 ZPO). Eine Entschädi- gungspflicht des Staates zugunsten der obsiegenden Partei – hier des Beklagten – besteht in solchen Fällen nicht (Art. 107 Abs. 2 ZPO, Art. 116 ZPO, § 202 GOG; Adrian Urwyler in: DIKE-Kommentar-ZPO, N 12 zu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