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RT120002 vom 2. Februar 2012</w:t>
      </w:r>
    </w:p>
    <w:p>
      <w:r>
        <w:t>ZH Obergericht, 2012-02-02, DE</w:t>
      </w:r>
    </w:p>
    <w:p>
      <w:r>
        <w:rPr>
          <w:b/>
        </w:rPr>
        <w:t xml:space="preserve">Quelle: </w:t>
      </w:r>
      <w:r>
        <w:t>https://mcp.opencaselaw.ch/entscheid/zh_obergericht_RT120002</w:t>
      </w:r>
    </w:p>
    <w:p>
      <w:r>
        <w:t>FR: ZH_OBERGERICHT RT120002 du 2 février 2012</w:t>
      </w:r>
    </w:p>
    <w:p>
      <w:r>
        <w:t>IT: ZH_OBERGERICHT RT120002 del 2 febbraio 2012</w:t>
      </w:r>
    </w:p>
    <w:p>
      <w:pPr>
        <w:pStyle w:val="Heading2"/>
      </w:pPr>
      <w:r>
        <w:t>Erwägungen</w:t>
      </w:r>
    </w:p>
    <w:p>
      <w:r>
        <w:rPr>
          <w:b/>
        </w:rPr>
        <w:t>E. 1</w:t>
      </w:r>
    </w:p>
    <w:p>
      <w:r>
        <w:t>a) Mit Urteil vom 23. November 2011 erteilte die Vorinstanz dem Kläger in der Betreibung Nr. … des Betreibungsamts B._____ (Zahlungsbefehl vom 28. Juni 2011) für ausstehende Steuerschulden definitive Rechtsöffnung für Fr. 8'044.55.– nebst 3,5% Zins seit 25. Juni 2011 und für Fr. 243.85; für die Be- treibungskosten sowie für Kosten und Entschädigung gemäss jenes Entscheides (Urk. 11). b) Hiergegen hat der Beklagte am 4. Januar 2012 (Poststempel 2. Januar 2012) fristgerecht Beschwerde erhoben (Urk. 10; Urk. 9e; Art. 56 Abs. 1 Ziff. 2 i.V.m. Art. 63 SchKG).</w:t>
      </w:r>
    </w:p>
    <w:p>
      <w:r>
        <w:rPr>
          <w:b/>
        </w:rPr>
        <w:t>E. 2</w:t>
      </w:r>
    </w:p>
    <w:p>
      <w:r>
        <w:t>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 zichtet werden (Art. 322 Abs. 1 ZPO).</w:t>
      </w:r>
    </w:p>
    <w:p>
      <w:r>
        <w:rPr>
          <w:b/>
        </w:rPr>
        <w:t>E. 3</w:t>
      </w:r>
    </w:p>
    <w:p>
      <w:r>
        <w:t>a) Die Gerichtskosten des Beschwerdeverfahrens sind in Anwen- dung von Art. 48 i.V.m. Art. 61 Abs. 1 GebV SchKG auf Fr. 300.– festzulegen und ausgangsgemäss dem Beklagten aufzuerlegen (Art. 106 Abs. 1 ZPO). b)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