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RT110211 vom 18. Juli 2013</w:t>
      </w:r>
    </w:p>
    <w:p>
      <w:r>
        <w:t>ZH Obergericht, 2013-07-18, DE</w:t>
      </w:r>
    </w:p>
    <w:p>
      <w:r>
        <w:rPr>
          <w:b/>
        </w:rPr>
        <w:t xml:space="preserve">Quelle: </w:t>
      </w:r>
      <w:r>
        <w:t>https://mcp.opencaselaw.ch/entscheid/zh_obergericht_RT110211</w:t>
      </w:r>
    </w:p>
    <w:p>
      <w:r>
        <w:t>FR: ZH_OBERGERICHT RT110211 du 18 juillet 2013</w:t>
      </w:r>
    </w:p>
    <w:p>
      <w:r>
        <w:t>IT: ZH_OBERGERICHT RT110211 del 18 luglio 2013</w:t>
      </w:r>
    </w:p>
    <w:p>
      <w:pPr>
        <w:pStyle w:val="Heading2"/>
      </w:pPr>
      <w:r>
        <w:t>Erwägungen</w:t>
      </w:r>
    </w:p>
    <w:p>
      <w:r>
        <w:rPr>
          <w:b/>
        </w:rPr>
        <w:t>E. 1</w:t>
      </w:r>
    </w:p>
    <w:p>
      <w:r>
        <w:t>Der Kläger und Beschwerdeführer (fortan Kläger) stellte vor Vorinstanz ge- stützt auf zwei Beschlüsse des Amtsgerichts München vom 8. März 2003 (Urk. 2/2 und 2/3) ein Gesuch um Erteilung der definitiven Rechtsöffnung für den Be- trag von Fr. 26'061.80 (Urk. 1). Gleichzeitig ersuchte er um vorgängige Vollstreck- barerklärung der beiden obgenannten Beschlüsse (vgl. Urk. 1 S. 1). Die Vorin- stanz wies das Rechtsöffnungsgesuch mit Urteil vom 11. November 2011 infolge offensichtlicher Unbegründetheit ohne Einholung einer Stellungnahme der Ge- genseite ab (Urk. 3a). Zur beantragten Vollstreckbarerklärung äusserte sich die Vorinstanz nicht.</w:t>
      </w:r>
    </w:p>
    <w:p>
      <w:r>
        <w:rPr>
          <w:b/>
        </w:rPr>
        <w:t>E. 2</w:t>
      </w:r>
    </w:p>
    <w:p>
      <w:r>
        <w:t>Gegen den abschlägigen Rechtsöffnungsentscheid erhob der Kläger mit Eingabe vom 15. Dezember 2011 Beschwerde (Urk. 5). Die Beschwerdeantwort des Beklagten und Beschwerdegegners (fortan Beklagter) datiert vom 24. Februar 2012 (Urk. 10) und wurde der Gegenseite zur Kenntnisnahme zugestellt (vgl. Urk. 12).</w:t>
      </w:r>
    </w:p>
    <w:p>
      <w:r>
        <w:rPr>
          <w:b/>
        </w:rPr>
        <w:t>E. 3</w:t>
      </w:r>
    </w:p>
    <w:p>
      <w:r>
        <w:t>Die Vorinstanz wies das Rechtsöffnungsbegehren mit der Begründung ab, aus dem Zahlungsbefehl gehe nicht hervor, für welche Periode die geltend ge- machten Unterhaltsbeiträge geschuldet seien. Ein Kläger, welcher gegen einen Schuldner gestützt auf eine Verpflichtung zu periodischen Leistungen die Betrei- bung einleite, habe im Zahlungsbefehl aber anzugeben, für welche Periode er be- treibe. Unterlasse er dies, sei das Begehren abzuweisen. Da der Kläger vorlie- gend monatliche Unterhaltsbeiträge als periodische Leistung in Betreibung ge- setzt habe, sich der Zahlungsbefehl aber nicht darüber ausspreche, für welche Zeitperiode die geltend gemachten Beträge geschuldet seien, erweise sich das Rechtsöffnungsbegehren von Anfang an als unbegründet (Urk. 6 S. 2).</w:t>
      </w:r>
    </w:p>
    <w:p>
      <w:r>
        <w:rPr>
          <w:b/>
        </w:rPr>
        <w:t>E. 4</w:t>
      </w:r>
    </w:p>
    <w:p>
      <w:r>
        <w:t>Lediglich der Vollständigkeit halber sei an dieser Stelle sodann festgehalten, dass der Kläger den von der Vorinstanz als fehlend bezeichneten Nachweis der Höhe und des Tages des Umrechnungskurses in Schweizer Franken mit Urk. 2/4</w:t>
      </w:r>
    </w:p>
    <w:p>
      <w:r>
        <w:t>- 6 - erbracht hat. Der Tatsache, dass das Rechtsöffnungsgesuch samt Beilagen nicht in doppelter Ausführung eingereicht worden ist (so die Vorinstanz in Urk. 6 S. 3), wäre mit der Ansetzung einer kurzen Nachfrist oder der kostenpflichtigen Erstel- lung von Kopien zu begegnen (Art. 131 ZPO). Die Bezeichnung eines Zustel- lungsempfängers in der Schweiz erfolgt sodann nach Art. 140 ZPO auf Anwei- sung des Gerichts.</w:t>
      </w:r>
    </w:p>
    <w:p>
      <w:r>
        <w:rPr>
          <w:b/>
        </w:rPr>
        <w:t>E. 5</w:t>
      </w:r>
    </w:p>
    <w:p>
      <w:r>
        <w:t>Da im erstinstanzlichen Verfahren keine Stellungnahme des Beklagten ein- geholt worden ist, ist die Sache zur Durchführung des Verfahrens und neuer Ent- scheidung an die Vorinstanz zurückzuweisen. Letztere wird im Rahmen des Rechtsöffnungsentscheides vorgängig zu prüfen haben, ob die beiden Beschlüs- se des Amtsgerichts München vom 8. März 2003 für vollstreckbar erklärt werden können.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