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RT110199 vom 15. Februar 2012</w:t>
      </w:r>
    </w:p>
    <w:p>
      <w:r>
        <w:t>ZH Obergericht, 2012-02-15, DE</w:t>
      </w:r>
    </w:p>
    <w:p>
      <w:r>
        <w:rPr>
          <w:b/>
        </w:rPr>
        <w:t xml:space="preserve">Quelle: </w:t>
      </w:r>
      <w:r>
        <w:t>https://mcp.opencaselaw.ch/entscheid/zh_obergericht_RT110199</w:t>
      </w:r>
    </w:p>
    <w:p>
      <w:r>
        <w:t>FR: ZH_OBERGERICHT RT110199 du 15 février 2012</w:t>
      </w:r>
    </w:p>
    <w:p>
      <w:r>
        <w:t>IT: ZH_OBERGERICHT RT110199 del 15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Einzelgerichts im summarischen Verfahren am Bezirks- gericht Bülach vom 16. August 2011 wurde das in der Betreibung Nr. … des Betreibungsamtes D._____ für Fr. 25'000.– (zuzüglich Zinsen) gestellte Ge- such um Erteilung der Rechtsöffnung für Kosten des Kanalisationsanschlus- ses abgewiesen (Urk. 15). Gegen diesen Entscheid erhob die Klägerin mit Eingabe vom 22. November 2011 rechtzeitig Beschwerde mit folgenden An- trägen (Urk. 14): "1. Das Urteil des Einzelgerichtes sei aufzuheben und an die Vorinstanz zur Neubeur- teilung und Entscheid zurückzuweisen.</w:t>
      </w:r>
    </w:p>
    <w:p>
      <w:r>
        <w:rPr>
          <w:b/>
        </w:rPr>
        <w:t>E. 2</w:t>
      </w:r>
    </w:p>
    <w:p>
      <w:r>
        <w:t>Der Beschluss des Gemeinderates vom 15. Juni 2010 über die Anordnung der Er- satzvornahme sei als weiteres Beweismittel zuzulassen.</w:t>
      </w:r>
    </w:p>
    <w:p>
      <w:r>
        <w:rPr>
          <w:b/>
        </w:rPr>
        <w:t>E. 3</w:t>
      </w:r>
    </w:p>
    <w:p>
      <w:r>
        <w:t>Aufgrund der Gehörsverletzung ist die Beschwerde gutzuheissen. Bei diesem Ergebnis ist auf die weiteren Einwände der Klägerin nicht mehr nä- her einzugehen. Gemäss Art. 327 Abs. 3 lit. a ZPO hebt die Rechtsmitte- linstanz den Entscheid auf und weist die Sache an die Vorinstanz zurück, soweit sie die Beschwerde gutheisst. Sie kann jedoch auch selber neu ent- scheiden, sofern die Sache spruchreif ist (Art. 327 Abs. 3 lit. b ZPO). Spruchreife liegt regelmässig dann vor, wenn die Beschwerdeinstanz ausschliesslich Rechtsfragen zu entscheiden hat. Bejaht die Beschwer- deinstanz jedoch eine Verletzung des rechtlichen Gehörs, muss dies auf- grund der formellen Natur dieses Anspruchs zur Rückweisung der Streitsa- che an die Vorinstanz führen, es sei denn, der Mangel könne ausnahmswei-</w:t>
      </w:r>
    </w:p>
    <w:p>
      <w:r>
        <w:t>- 4 - se im Rechtsmittelverfahren geheilt werden (Freiburghaus/Afheldt, in: Sutter- Somm/Hasenböhler/Leuenberger, Kommentar zur Schweizerischen Zivilpro- zessordnung (ZPO), Zürich/Basel/Genf 2010, Art. 327 N 11 m.w.H.). Die Vorinstanz wird der Klägerin in Bezug auf die Urk. 6 und die dazu- gehörenden Beilagen (Urk. 8/1-3) das rechtliche Gehör zu gewähren haben. Das Verfahren ist zur Zeit somit noch nicht spruchreif und daher an die Vo- rinstanz zurückzuweisen. Bei diesem Verfahrensausgang wird der Beklagte kosten- und entschädigungspflichtig (Art. 48 i.V.m. Art. 61 Abs. 1 GebV SchKG, Art. 106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