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RT110175 vom 18. November 2011</w:t>
      </w:r>
    </w:p>
    <w:p>
      <w:r>
        <w:t>ZH Obergericht, 2011-11-18, DE</w:t>
      </w:r>
    </w:p>
    <w:p>
      <w:r>
        <w:rPr>
          <w:b/>
        </w:rPr>
        <w:t xml:space="preserve">Quelle: </w:t>
      </w:r>
      <w:r>
        <w:t>https://mcp.opencaselaw.ch/entscheid/zh_obergericht_RT110175</w:t>
      </w:r>
    </w:p>
    <w:p>
      <w:r>
        <w:t>FR: ZH_OBERGERICHT RT110175 du 18 novembre 2011</w:t>
      </w:r>
    </w:p>
    <w:p>
      <w:r>
        <w:t>IT: ZH_OBERGERICHT RT110175 del 18 novembre 2011</w:t>
      </w:r>
    </w:p>
    <w:p>
      <w:pPr>
        <w:pStyle w:val="Heading2"/>
      </w:pPr>
      <w:r>
        <w:t>Volltext</w:t>
      </w:r>
    </w:p>
    <w:p>
      <w:r>
        <w:t>Obergericht des Kantons Zürich I. Zivilkammer Geschäfts-Nr.: RT110175-O/U Mitwirkend: Oberrichter Dr. R. Klopfer, Vorsitzender, Oberrichterin Dr. M. Schaf- fitz und Oberrichterin Dr. D. Scherrer sowie Gerichtsschreiber lic. iur. F. Rieke Beschluss vom 18. November 2011 in Sachen A._____, Beklagter und Beschwerdeführer gegen B._____ AG, Klägerin und Beschwerdegegnerin vertreten durch B._____ AG, Y._____, betreffend Rechtsöffnung Beschwerde gegen eine Verfügung des Einzelgerichts im summarischen Verfahren am Bezirksgericht Dielsdorf vom 5. September 2011 (EB110233)</w:t>
      </w:r>
    </w:p>
    <w:p>
      <w:r>
        <w:t>- 2 - Erwägungen: Mit Schreiben vom 8. November 2011, hierorts eingegangen am 9. Novem- ber 2011, hat der Beklagte seine am 24. Oktober 2011 erhobene Beschwerde zu- rückgezogen (Urk. 19). Das Verfahren ist entsprechend abzuschreiben (Art. 241 Abs. 3 ZPO). Ausgangsgemäss sind die Prozesskosten des Rechtsmittelverfahrens dem Beklagten aufzuerlegen (Art. 106 Abs. 1 ZPO). Mangels relevanter Umtriebe im Beschwerdeverfahren ist der Klägerin für dasselbe keine Parteientschädigung zu- zusprechen (vgl. Art. 95 Abs. 3 ZPO). Es wird beschlossen: 1. Das Verfahren wird abgeschrieben. 2. Die zweitinstanzliche Entscheidgebühr wird auf Fr. 400.-- festgesetzt. 3. Die Gerichtskosten des Beschwerdeverfahrens werden dem Beklagten auf- erlegt. 4. Für das Beschwerdeverfahren werden keine Parteientschädigungen zuge- sprochen. 5. Schriftliche Mitteilung an die Parteien, an die Klägerin unter Beilage von Ko- pien von Urk. 14 und 19, sowie – unter Rücksendung der erstinstanzlichen Akten – an das Bezirksgericht Dielsdorf, je gegen Empfangsschein.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- 3 - Dies ist ein Endentscheid im Sinne von Art. 90 BGG. Es handelt sich um eine vermö- gensrechtliche Angelegenheit. Der Streitwert beträgt Fr. 64'465.--. Die Beschwerde an das Bundesgericht hat keine aufschiebende Wirkung. Hinsichtlich des Fristenlaufs gelten die Art. 44 ff. BGG. Zürich, 18. November 2011 Obergericht des Kantons Zürich I. Zivilkammer Der Gerichtsschreiber: lic. iur. F. Rieke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