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RT110174 vom 1. November 2011</w:t>
      </w:r>
    </w:p>
    <w:p>
      <w:r>
        <w:t>ZH Obergericht, 2011-11-01, DE</w:t>
      </w:r>
    </w:p>
    <w:p>
      <w:r>
        <w:rPr>
          <w:b/>
        </w:rPr>
        <w:t xml:space="preserve">Quelle: </w:t>
      </w:r>
      <w:r>
        <w:t>https://mcp.opencaselaw.ch/entscheid/zh_obergericht_RT110174</w:t>
      </w:r>
    </w:p>
    <w:p>
      <w:r>
        <w:t>FR: ZH_OBERGERICHT RT110174 du 1 novembre 2011</w:t>
      </w:r>
    </w:p>
    <w:p>
      <w:r>
        <w:t>IT: ZH_OBERGERICHT RT110174 del 1 novembre 2011</w:t>
      </w:r>
    </w:p>
    <w:p>
      <w:pPr>
        <w:pStyle w:val="Heading2"/>
      </w:pPr>
      <w:r>
        <w:t>Erwägungen</w:t>
      </w:r>
    </w:p>
    <w:p>
      <w:r>
        <w:rPr>
          <w:b/>
        </w:rPr>
        <w:t>E. 1</w:t>
      </w:r>
    </w:p>
    <w:p>
      <w:r>
        <w:t>a) Mit Urteil vom 31. Mai 2011 erteilte die Vorinstanz der Klägerin in der Betreibung Nr. … des Betreibungsamts D._____ (Zahlungsbefehl vom 10. Ja- nuar 2011) gestützt auf eine zwischen den Parteien geschlossene Ratenvereinba- rung vom 17. Februar 2011 provisorische Rechtsöffnung für Fr. 6'446.70 nebst 5% Zins seit 11. November 2008, für Fr. 663.– Verzugsschaden, für Fr. 16.15 aufgelaufene Kosten und für die Betreibungskosten sowie für Kosten und Ent- schädigung gemäss jenem Entscheid (Urk. 2). b) Hiergegen hat der Beklagte am 25. Oktober 2011 fristgerecht Be- schwerde erhoben und stellt die Beschwerdeanträge (Urk. 1 S. 2): "Es sei die Nichtigkeit des Urteils über die Erteilung der provisorischen Rechtsöffnung der Einzelrichterin Nr. EB110030-A/U/ha vom 31. Mai 2011 festzustellen; alles unter Kosten- und Entschädigungsfolge zu Lasten der Vorinstanz."</w:t>
      </w:r>
    </w:p>
    <w:p>
      <w:r>
        <w:rPr>
          <w:b/>
        </w:rPr>
        <w:t>E. 2</w:t>
      </w:r>
    </w:p>
    <w:p>
      <w:r>
        <w:t>a) Für das erstinstanzliche wie für das Beschwerdeverfahren kommt die am 1. Januar 2011 in Kraft getretene eidgenössische Zivilprozessordnung zur Anwendung (Art. 404 f. ZPO). b) Der Beklagte beantragt zwar, es sei die Nichtigkeit des angefochtenen Urteils festzustellen – wofür der Beschwerde weder eine Begründung zu entneh- men ist noch irgendwelche Anhaltspunkte bestehen –, doch ist sein Rechtsmittel- antrag nach Treu und Glauben dahingehend zu verstehen, dass das angefochte- ne Urteil vollumfänglich aufgehoben werden soll. c) Da sich die Beschwerde sogleich als offensichtlich unbegründet bzw. unzulässig erweist, kann auf die Einholung einer Beschwerdeantwort der Gegen- partei verzichtet werden (Art. 322 Abs. 1 ZPO).</w:t>
      </w:r>
    </w:p>
    <w:p>
      <w:r>
        <w:t>- 3 -</w:t>
      </w:r>
    </w:p>
    <w:p>
      <w:r>
        <w:rPr>
          <w:b/>
        </w:rPr>
        <w:t>E. 3</w:t>
      </w:r>
    </w:p>
    <w:p>
      <w:r>
        <w:t>a) Die Vorinstanz erwog im Wesentlichen, in der vom Beklagten un- terzeichneten Ratenvereinbarung vom 17. Februar 2011 (Urk. 3/2) anerkenne der Beklagte sowohl den Bestand der Forderung als auch seine Leistungspflicht ge- genüber der Gläubigerin und auch die Fälligkeit ergebe sich daraus; jene Urkunde genüge damit als provisorischer Rechtsöffnungstitel (Urk. 2 S. 3 f.). Der Beklagte habe dagegen geltend gemacht, dass diese Schuldanerkennung unzutreffende Angaben enthalte, denn er habe das Angebot der Klägerin ausschliesslich von Oktober 2001 bis Ende 2004 in Anspruch genommen; der Beklagte berufe sich damit zwar auf einen Irrtum, er vermöge jedoch keine objektiven Anhaltspunkte aufzuzeigen, welche seine Vorbringen über den Rang blosser Behauptungen zu erheben vermöchten, womit seine Einwendungen nicht glaubhaft gemacht worden seien (Urk. 2 S. 5 f.). b) Mit der Beschwerde können unrichtige Rechtsanwendung und offen- sichtlich unrichtige Feststellung des Sachverhalts geltend gemacht werden (Art. 320 ZPO). Im Beschwerdeverfahren gilt das Rügeprinzip (Sutter-Somm/Hasen- böhler/Leuenberger [Hrsg.], Kommentar zur Schweizer.ischen Zivilprozessord- nung, N 15 zu Art. 321 ZPO), d.h. die Beschwerde führende Partei hat im Einzel- nen darzulegen, an welchen Mängeln (unrichtige Rechtsanwendung, offensicht- lich unrichtige Feststellung des Sachverhalts) der angefochtene Entscheid ihrer Ansicht nach leidet. Was nicht gerügt wird, hat Bestand. Werden keine oder un- genügende Rügen erhoben, stellt dies nicht einen behebbaren Mangel dar (vgl. Art. 132 ZPO), d.h. ist nicht eine Nachfrist zur ergänzenden Begründung anzuset- zen, sondern ist die Beschwerde abzuweisen. c) Die Begründung der Beschwerde beschränkt sich auf den einzigen Satz "Ich habe nur ein Jahresvertrag unterschrieben" (Urk. 1 S. 2). Dies stellt kei- ne genügende Begründung bzw. Rüge dar, denn damit wird keine konkrete Rechtsverletzung oder unrichtige Sachverhaltsfeststellung geltend gemacht und setzt sich der Beklagte mit den vorinstanzlichen Erwägungen in keiner Weise auseinander. Darüberhinaus wäre dieses Vorbringen auch neu (vor Vorinstanz hatte der Beklagte noch geltend gemacht, er habe das Angebot der Klägerin von Oktober 2001 bis Ende 2004, mithin rund drei Jahre lang, in Anspruch genom-</w:t>
      </w:r>
    </w:p>
    <w:p>
      <w:r>
        <w:t>- 4 - men; Urk. 2 S. 5, nicht als unzutreffend gerügt) und damit im Beschwerdeverfah- ren unzulässig (Art. 326 ZPO). d) Nach dem Gesagten ist die Beschwerde abzuweisen.</w:t>
      </w:r>
    </w:p>
    <w:p>
      <w:r>
        <w:rPr>
          <w:b/>
        </w:rPr>
        <w:t>E. 4</w:t>
      </w:r>
    </w:p>
    <w:p>
      <w:r>
        <w:t>a) Die Gerichtskosten des Beschwerdeverfahrens sind in Anwen- dung von Art. 48 i.V.m. Art. 61 Abs. 1 GebV SchKG auf Fr. 300.– festzulegen und ausgangsgemäss dem Beklagten aufzuerlegen (Art. 106 Abs. 1 ZPO). b) Der Klägerin ist mangels relevanter Umtriebe im Beschwerdeverfahren keine Parteientschädigung zuzusprechen (vgl. Art. 95 Abs. 3 ZPO).</w:t>
      </w:r>
    </w:p>
    <w:p>
      <w:r>
        <w:rPr>
          <w:b/>
        </w:rPr>
        <w:t>E. 5</w:t>
      </w:r>
    </w:p>
    <w:p>
      <w:r>
        <w:t>Der Beklagte ist darauf hinzuweisen, dass die Frist von 20 Tagen zur Erhebung der Aberkennungsklage (Disp.-Ziff. 5 des angefochtenen Urteils) durch das vorliegende Beschwerdeverfahren nicht tangiert wird.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