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RT110146 vom 27. Oktober 2011</w:t>
      </w:r>
    </w:p>
    <w:p>
      <w:r>
        <w:t>ZH Obergericht, 2011-10-27, DE</w:t>
      </w:r>
    </w:p>
    <w:p>
      <w:r>
        <w:rPr>
          <w:b/>
        </w:rPr>
        <w:t xml:space="preserve">Quelle: </w:t>
      </w:r>
      <w:r>
        <w:t>https://mcp.opencaselaw.ch/entscheid/zh_obergericht_RT110146</w:t>
      </w:r>
    </w:p>
    <w:p>
      <w:r>
        <w:t>FR: ZH_OBERGERICHT RT110146 du 27 octobre 2011</w:t>
      </w:r>
    </w:p>
    <w:p>
      <w:r>
        <w:t>IT: ZH_OBERGERICHT RT110146 del 27 ottobre 2011</w:t>
      </w:r>
    </w:p>
    <w:p>
      <w:pPr>
        <w:pStyle w:val="Heading2"/>
      </w:pPr>
      <w:r>
        <w:t>Erwägungen</w:t>
      </w:r>
    </w:p>
    <w:p>
      <w:r>
        <w:rPr>
          <w:b/>
        </w:rPr>
        <w:t>E. 1</w:t>
      </w:r>
    </w:p>
    <w:p>
      <w:r>
        <w:t>a) Mit Urteil vom 1. September 2011 erteilte die Vorinstanz der Klä- gerin in der Betreibung Nr. … des Betreibungsamts C._____ (Zahlungsbefehl vom 21. Juni 2011) für den ausstehenden Unterhaltsbeitrag von Juni 2011 definitive Rechtsöffnung für Fr. 500.– nebst 5% Zins seit 1. Juni 2011 und Betreibungskos- ten von Fr. 33.–; die Kosten- und Entschädigungsfolgen wurden zu Lasten des Beklagten geregelt (Urk. 2 A). Mit Verfügung vom 22. September 2011 berichtigte die Vorinstanz den Rechtsmittelsatz des Urteils vom 1. September 2011 (Urk. 2 A, Dispositivziffer 6; Urk. 2 B). b) Der Beklagte hat am 6. Oktober 2011 (Poststempel 5. Oktober 2011) fristgerecht Beschwerde gegen die Verfügung vom 22. September 2011 erhoben (Urk. 10; Urk. 13; Urk.14/2; Urk. 1). Da die Verfügung jedoch lediglich den Rechtsmittelsatz des Urteils vom 1. September 2011 berichtigt, ist davon auszu- gehen, dass sich die Beschwerde gegen das Urteil vom 1. September 2011 rich- tet.</w:t>
      </w:r>
    </w:p>
    <w:p>
      <w:r>
        <w:rPr>
          <w:b/>
        </w:rPr>
        <w:t>E. 2</w:t>
      </w:r>
    </w:p>
    <w:p>
      <w:r>
        <w:t>Für das vorliegende Verfahren kommt die am 1. Januar 2011 in Kraft getretene eidgenössische Zivilprozessordnung zur Anwendung (Art. 404 f. ZPO). Da sich die Beschwerde sogleich als offensichtlich unbegründet bzw. unzulässig erweist, kann auf die Einholung einer Beschwerdeantwort der Gegenpartei ver- zichtet werden (Art. 322 Abs. 1 ZPO).</w:t>
      </w:r>
    </w:p>
    <w:p>
      <w:r>
        <w:rPr>
          <w:b/>
        </w:rPr>
        <w:t>E. 3</w:t>
      </w:r>
    </w:p>
    <w:p>
      <w:r>
        <w:t>Der Beklagte bringt im Beschwerdeverfahren - wie bereits bei der Vo- rinstanz - lediglich Einwendungen vor, die allenfalls bei einem Abänderungsver- fahren gemäss Art. 129 ZGB zu berücksichtigen wären. Im Verfahren um definiti- ve Rechtsöffnung werden gemäss Art. 81 Abs. 1 SchKG nur die Einwendungen der Tilgung, Stundung oder Verjährung der betriebenen Schuld gehört. Es wird nicht geprüft, ob eine Forderung zu Recht besteht oder nicht, sondern es wird einzig geprüft, ob für die geltend gemachte Forderung ein Rechtsöffnungstitel vor- liegt (vgl. im Einzelnen die zutreffenden Erwägungen der Vorinstanz, Urk. 2 A, S. 2 ff., Erwägung 2). Ob und inwieweit ein Schuldner eine fällige Schuld bezahlen kann, kann ebenso nicht im Rechtsöffnungsverfahren geprüft werden, sondern</w:t>
      </w:r>
    </w:p>
    <w:p>
      <w:r>
        <w:t>- 3 - wird erst im Rahmen des Pfändungsvollzugs zu berücksichtigen sein (Art. 92 und 93 SchKG). Damit bringt der Beklagte nichts vor, dass zu einer weiteren Überprü- fung des vorinstanzlichen Entscheides Anlass gibt. Die Beschwerde ist abzuwei- sen.</w:t>
      </w:r>
    </w:p>
    <w:p>
      <w:r>
        <w:rPr>
          <w:b/>
        </w:rPr>
        <w:t>E. 4</w:t>
      </w:r>
    </w:p>
    <w:p>
      <w:r>
        <w:t>a) Die Gerichtskosten des Beschwerdeverfahrens sind in Anwen- dung von Art. 48 i.V.m. Art. 61 Abs. 1 GebV SchKG auf Fr. 150.– festzulegen und ausgangsgemäss dem Beklagten aufzuerlegen (Art. 106 Abs. 1 ZPO). b) Der Beklagte bringt vor, dass er kein Geld für einen Anwalt habe und einen kostenlosen Pflichtanwalt beantrage, sofern er einen brauche (Urk. 1). Ein damit allenfalls sinngemäss gestelltes Gesuch um unentgeltliche Rechtspflege wäre zufolge Aussichtslosigkeit der Beschwerde (vgl. vorstehende Erwägungen) ohnehin abzuweisen (Art. 117 lit. b ZPO). c)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