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RT110083 vom 13. Dezember 2011</w:t>
      </w:r>
    </w:p>
    <w:p>
      <w:r>
        <w:t>ZH Obergericht, 2011-12-13, DE</w:t>
      </w:r>
    </w:p>
    <w:p>
      <w:r>
        <w:rPr>
          <w:b/>
        </w:rPr>
        <w:t xml:space="preserve">Quelle: </w:t>
      </w:r>
      <w:r>
        <w:t>https://mcp.opencaselaw.ch/entscheid/zh_obergericht_RT110083</w:t>
      </w:r>
    </w:p>
    <w:p>
      <w:r>
        <w:t>FR: ZH_OBERGERICHT RT110083 du 13 décembre 2011</w:t>
      </w:r>
    </w:p>
    <w:p>
      <w:r>
        <w:t>IT: ZH_OBERGERICHT RT110083 del 13 dicembre 2011</w:t>
      </w:r>
    </w:p>
    <w:p>
      <w:pPr>
        <w:pStyle w:val="Heading2"/>
      </w:pPr>
      <w:r>
        <w:t>Erwägungen</w:t>
      </w:r>
    </w:p>
    <w:p>
      <w:r>
        <w:rPr>
          <w:b/>
        </w:rPr>
        <w:t>E. 1</w:t>
      </w:r>
    </w:p>
    <w:p>
      <w:r>
        <w:t>Mit Urteil vom 23. Mai 2011 erteilte die Vorinstanz den Klägern und Be- schwerdeführern (fortan Kläger) in der Betreibung Nr. ... des Betreibungsamtes D._____ (Zahlungsbefehl vom 2. September 2010) gestützt auf eine von den Par- teien unterzeichnete Vereinbarung betreffend ein ehemaliges Mietverhältnis pro- visorische Rechtsöffnung für Fr. 440.– und Fr. 70.– Zahlungsbefehlskosten sowie für die Kosten und Entschädigung der Verfügung (recte: des Urteils) der Vo- rinstanz. Im übrigen Umfang (Forderung) wurde das Begehren abgewiesen (Urk. 13 S. 6 Dispositivziffer 1).</w:t>
      </w:r>
    </w:p>
    <w:p>
      <w:r>
        <w:rPr>
          <w:b/>
        </w:rPr>
        <w:t>E. 2</w:t>
      </w:r>
    </w:p>
    <w:p>
      <w:r>
        <w:t>Den Beschwerdeführern sei in der Betreibung Nr. ... des Betrei- bungs-Amtes D._____ Rechtsöffnung zu erteilen für den in Betrei- bung gesetzten Betrag von Fr. 1'425.90 plus 5 % seit 30.5.2010 sowie Fr. 70.00 Zahlungsbefehlskosten und es sei Rechtsöffnung zu erteilen.</w:t>
      </w:r>
    </w:p>
    <w:p>
      <w:r>
        <w:rPr>
          <w:b/>
        </w:rPr>
        <w:t>E. 3</w:t>
      </w:r>
    </w:p>
    <w:p>
      <w:r>
        <w:t>Mit der Beschwerde können unrichtige Rechtsanwendung und offensicht- lich unrichtige Feststellung des Sachverhalts geltend gemacht werden (Art. 320 ZPO).</w:t>
      </w:r>
    </w:p>
    <w:p>
      <w:r>
        <w:rPr>
          <w:b/>
        </w:rPr>
        <w:t>E. 4</w:t>
      </w:r>
    </w:p>
    <w:p>
      <w:r>
        <w:t>a) Die Kläger wurden mit Schreiben vom 3. Februar 2011 darauf aufmerk- sam gemacht, dass es nicht Sache des Gerichts sei, die nötigen Unterlagen ein- zufordern; gleichzeitig wurde den Klägern Frist zur Nachreichung von Unterlagen angesetzt (Urk. 3). Die Kläger machen geltend, sie hätten dieses Schreiben nie erhalten (Urk. 12 S. 3 Ziff. 4). Der Vorinstanz gelang es nicht, die Zustellung die- ses Schreibens an die Kläger nachzuweisen (Urk. 18). b) ba) Der Anspruch auf rechtliches Gehör verlangt insbesondere, dass die Gerichte die rechtserheblichen Vorbringen der Parteien anhören und bei der Ent- scheidfindung berücksichtigen (BGE 134 I 83 E. 4.1 S. 88; BGE 124 I 241 E. 2 S. 242). Der Anspruch auf rechtliches Gehör gibt dem Betroffenen als persönlich- keitsbezogenes Mitwirkungsrecht das Recht, sich vor Erlass eines in seine Rechtsstellung eingreifenden Entscheides zu äussern, erhebliche Beweise beizu- bringen, Einsicht in die Akten zu nehmen, mit erheblichen Beweisanträgen gehört zu werden und an der Erhebung wesentlicher Beweise entweder mitzuwirken o- 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w:t>
      </w:r>
    </w:p>
    <w:p>
      <w:r>
        <w:t>- 4 - abzunehmen, es sei denn, diese beträfen eine nicht erhebliche Tatsache oder seien offensichtlich untauglich, über die streitige Tatsache Beweis zu erbringen. bb) Vorliegend ist davon auszugehen, dass die Kläger das Schreiben der Vorinstanz nicht erhalten haben. Sie hatten somit keine Kenntnis davon, dass ihnen von der Vorinstanz die Möglichkeit geboten wurde, weitere Belege einzu- reichen. Ein Teil ihres Rechtsöffnungsbegehrens wurde sodann abgewiesen, da Unterlagen fehlen würden, so zum Beispiel betreffend die Betreibungskosten (vgl. Urk. 13 S. 5 lit. c) und die Kosten für die Wohnungsübergabe (vgl. Urk. 13 S. 5 lit. d). Indem den Klägern das Recht, erhebliche Urkunden beizubringen, durch die unterbliebene Zustellung des Schreibens der Vorinstanz vom 3. Februar 2011 nicht gewährt wurde, und ihnen in den vorinstanzlichen Erwägungen vorgehalten wurde, dass sie es (trotz entsprechender Nachfrist) unterlassen hätten, Unterla- gen einzureichen (vgl. Urk.13 S. 5 lit. c), wurde von der Vorinstanz ihr Mitwir- kungsrecht und damit ihr rechtliches Gehör verletzt. Aufgrund dieser Gehörsver- letzung ist die Beschwerde in Bezug auf den klägerischen Antrag Ziffer 1 gutzu- heissen.</w:t>
      </w:r>
    </w:p>
    <w:p>
      <w:r>
        <w:rPr>
          <w:b/>
        </w:rPr>
        <w:t>E. 5</w:t>
      </w:r>
    </w:p>
    <w:p>
      <w:r>
        <w:t>a) Gemäss Art. 327 Abs. 3 lit. a ZPO hebt die Rechtsmittelinstanz den Entscheid auf und weist die Sache an die Vorinstanz zurück, soweit sie die Be- schwerde gutheisst. Sie kann jedoch auch selber neu entscheiden, sofern die Sa- che spruchreif ist (Art. 327 Abs. 3 lit. b ZPO). b) Spruchreife liegt regelmässig dann vor, wenn die Beschwerdeinstanz ausschliesslich Rechtsfragen zu entscheiden hat. Bejaht die Beschwerdeinstanz jedoch eine Verletzung des rechtlichen Gehörs, muss dies aufgrund der formellen Natur dieses Anspruchs zur Rückweisung der Streitsache an die Vorinstanz füh- ren, es sei denn, der Mangel könne ausnahmsweise im Rechtsmittelverfahren geheilt werden (Freiburghaus/Afheldt, in: Sutter-Somm/Hasenböhler/Leuenberger, Kommentar zur Schweizerischen Zivilprozessordnung (ZPO), Zürich/Basel/Genf 2010, Art. 327 N 11 m.w.H.).</w:t>
      </w:r>
    </w:p>
    <w:p>
      <w:r>
        <w:t>- 5 - c) Die Vorinstanz wird dem Beklagten in Bezug auf die Urk. 16/3-6, welche unechte Noven darstellen und im Beschwerdeverfahren aufgrund Art. 326 Abs. 1 ZPO nicht berücksichtigt werden können, das rechtliche Gehör zu gewähren ha- ben. Das Verfahren ist zur Zeit somit noch nicht spruchreif und daher an die Vo- rinstanz zurückzuweisen.</w:t>
      </w:r>
    </w:p>
    <w:p>
      <w:r>
        <w:rPr>
          <w:b/>
        </w:rPr>
        <w:t>E. 6</w:t>
      </w:r>
    </w:p>
    <w:p>
      <w:r>
        <w:t>Der Beklagte reichte im Beschwerdeverfahren keine Beschwerdeantwort ein. Er hat sich somit mit dem vorinstanzlichen Entscheid nicht identifiziert. Zudem hat er ihn auch nicht verursacht. Gemäss Art. 107 Abs. 1 lit. f. und Abs. 2 ZPO ist er daher weder zur Bezahlung einer Prozessentschädigung zu verpflichten, noch mit Gerichtskosten zu belegen. In einem solchen Fall besteht zudem keine ge- setzliche Grundlage, die Kläger aus der Staatskasse zu entschädigen (Jenny, in: Sutter-Somm/Hasenböhler/Leuenberger, a.a.O., Art. 107 N 26; Frei- burghaus/Afheldt, in: Sutter-Somm/Hasenböhler/Leuenberger, a.a.O, Art. 327 N 24).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