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RT110074 vom 22. August 2011</w:t>
      </w:r>
    </w:p>
    <w:p>
      <w:r>
        <w:t>ZH Obergericht, 2011-08-22, DE</w:t>
      </w:r>
    </w:p>
    <w:p>
      <w:r>
        <w:rPr>
          <w:b/>
        </w:rPr>
        <w:t xml:space="preserve">Quelle: </w:t>
      </w:r>
      <w:r>
        <w:t>https://mcp.opencaselaw.ch/entscheid/zh_obergericht_RT110074</w:t>
      </w:r>
    </w:p>
    <w:p>
      <w:r>
        <w:t>FR: ZH_OBERGERICHT RT110074 du 22 août 2011</w:t>
      </w:r>
    </w:p>
    <w:p>
      <w:r>
        <w:t>IT: ZH_OBERGERICHT RT110074 del 22 agosto 2011</w:t>
      </w:r>
    </w:p>
    <w:p>
      <w:pPr>
        <w:pStyle w:val="Heading2"/>
      </w:pPr>
      <w:r>
        <w:t>Erwägungen</w:t>
      </w:r>
    </w:p>
    <w:p>
      <w:r>
        <w:rPr>
          <w:b/>
        </w:rPr>
        <w:t>E. 1</w:t>
      </w:r>
    </w:p>
    <w:p>
      <w:r>
        <w:t>Mit Verfügung vom 5. April 2011 wurde dem Beklagten und Beschwerde- führer (fortan Beklagter) die unentgeltliche Prozessführung bewilligt. Sodann wur- de sein Begehren um Bestellung eines unentgeltlichen Rechtsbeistandes abge- wiesen (Urk. 27 S. 13 Dispositivziffern 1 und 2). Mit Urteil vom gleichen Tag erteil- te die Vorinstanz dem Kläger und Beschwerdegegner (fortan Kläger) in der Be- treibung Nr. … des Betreibungsamtes Y._____ (Zahlungsbefehl vom tt.mm.2010) gestützt auf den Mietvertrag vom 29.September 2009 (Urk. 2/2) provisorische Rechtsöffnung für Fr. 5'010.– (Mietzins für Januar bis März 2010) nebst Zinsen zu</w:t>
      </w:r>
    </w:p>
    <w:p>
      <w:r>
        <w:rPr>
          <w:b/>
        </w:rPr>
        <w:t>E. 5</w:t>
      </w:r>
    </w:p>
    <w:p>
      <w:r>
        <w:t>Im Rechtsmittelverfahren ist die unentgeltliche Rechtspflege neu zu bean- tragen (Art. 119 Abs. 5 ZPO). Der Beklagte unterliess dies vorliegend, weshalb ihm für das Beschwerdeverfahren die unentgeltliche Rechtspflege nicht gewährt werden kann. Zu erwähnen bleibt, dass ihm diese ohnehin nicht gewährt worden wäre, da seine Beschwerde wie aufgezeigt von vorneherein aussichtslos war (vgl. dazu Art. 117 lit. b ZPO).</w:t>
      </w:r>
    </w:p>
    <w:p>
      <w:r>
        <w:rPr>
          <w:b/>
        </w:rPr>
        <w:t>E. 6</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i.V.m. Art. 61 Abs. 1 GebV SchKG auf Fr. 200.– festzusetzen. b) Mangels Umtrieben ist dem Kläger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