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RT110010 vom 8. Februar 2011</w:t>
      </w:r>
    </w:p>
    <w:p>
      <w:r>
        <w:t>ZH Obergericht, 2011-02-08, DE</w:t>
      </w:r>
    </w:p>
    <w:p>
      <w:r>
        <w:rPr>
          <w:b/>
        </w:rPr>
        <w:t xml:space="preserve">Quelle: </w:t>
      </w:r>
      <w:r>
        <w:t>https://mcp.opencaselaw.ch/entscheid/zh_obergericht_RT110010</w:t>
      </w:r>
    </w:p>
    <w:p>
      <w:r>
        <w:t>FR: ZH_OBERGERICHT RT110010 du 8 février 2011</w:t>
      </w:r>
    </w:p>
    <w:p>
      <w:r>
        <w:t>IT: ZH_OBERGERICHT RT110010 del 8 febbraio 2011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SchKG bzw. der GebV der Ordnung von Art. 95 und 96 ZPO als leges speciales vor (Suter/von Holzen in Sutter-Somm/Hasenböhler/Leuenberger, Kommentar zur Schweizerischen Zivilprozessordnung, N 17 zu Art. 96 ZPO; Gehri/Kramer, Kommentar zur Schweizerischen Zivilprozessordnung, N 2 zu Art. 96 ZPO). Das rechtfertigt sich auch in der Sache: "Betreibungsrechtliche</w:t>
      </w:r>
    </w:p>
    <w:p>
      <w:r>
        <w:t>- 3 - Summarsachen" haben nicht die gleiche Bedeutung, wie andere Gerichtsverfahren. Das führt – gegenüber jenen Gebühren, die gemäss Art. 96 ZPO zu regeln sind – grundsätzlich zu deutlich tieferen Gebühren. [...]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