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RS250016 vom 23. September 2025</w:t>
      </w:r>
    </w:p>
    <w:p>
      <w:r>
        <w:t>ZH Obergericht, 2025-09-23, DE</w:t>
      </w:r>
    </w:p>
    <w:p>
      <w:r>
        <w:rPr>
          <w:b/>
        </w:rPr>
        <w:t xml:space="preserve">Quelle: </w:t>
      </w:r>
      <w:r>
        <w:t>https://mcp.opencaselaw.ch/entscheid/zh_obergericht_RS250016</w:t>
      </w:r>
    </w:p>
    <w:p>
      <w:r>
        <w:t>FR: ZH_OBERGERICHT RS250016 du 23 septembre 2025</w:t>
      </w:r>
    </w:p>
    <w:p>
      <w:r>
        <w:t>IT: ZH_OBERGERICHT RS250016 del 23 settembre 2025</w:t>
      </w:r>
    </w:p>
    <w:p>
      <w:pPr>
        <w:pStyle w:val="Heading2"/>
      </w:pPr>
      <w:r>
        <w:t>Erwägungen</w:t>
      </w:r>
    </w:p>
    <w:p>
      <w:r>
        <w:rPr>
          <w:b/>
        </w:rPr>
        <w:t>E. 1</w:t>
      </w:r>
    </w:p>
    <w:p>
      <w:r>
        <w:t>Dem Gesuchsgegner wird die unentgeltliche Rechtspflege gewährt und in der Person von Rechtsanwältin MLaw X._____ eine unentgeltliche Rechts- beiständin bestellt.</w:t>
      </w:r>
    </w:p>
    <w:p>
      <w:r>
        <w:rPr>
          <w:b/>
        </w:rPr>
        <w:t>E. 2</w:t>
      </w:r>
    </w:p>
    <w:p>
      <w:r>
        <w:t>September 2025 wird abgeschrieben.</w:t>
      </w:r>
    </w:p>
    <w:p>
      <w:r>
        <w:rPr>
          <w:b/>
        </w:rPr>
        <w:t>E. 3</w:t>
      </w:r>
    </w:p>
    <w:p>
      <w:r>
        <w:t>Die zweitinstanzliche Entscheidgebühr wird auf Fr. 600.– festgesetzt.</w:t>
      </w:r>
    </w:p>
    <w:p>
      <w:r>
        <w:rPr>
          <w:b/>
        </w:rPr>
        <w:t>E. 4</w:t>
      </w:r>
    </w:p>
    <w:p>
      <w:r>
        <w:t>Die zweitinstanzliche Entscheidgebühr wird den Parteien je zur Hälfte aufer- legt. Der Anteil des Gesuchsgegners wird jedoch infolge Bewilligung der un- entgeltlichen Rechtspflege einstweilen auf die Gerichtskasse genommen. Eine Nachforderung gestützt auf Art. 123 ZPO bleibt vorbehalten.</w:t>
      </w:r>
    </w:p>
    <w:p>
      <w:r>
        <w:rPr>
          <w:b/>
        </w:rPr>
        <w:t>E. 5</w:t>
      </w:r>
    </w:p>
    <w:p>
      <w:r>
        <w:t>Es werden keine Parteientschädigungen zugesprochen.</w:t>
      </w:r>
    </w:p>
    <w:p>
      <w:r>
        <w:rPr>
          <w:b/>
        </w:rPr>
        <w:t>E. 6</w:t>
      </w:r>
    </w:p>
    <w:p>
      <w:r>
        <w:t>Schriftliche Mitteilung an die Parteien, an den Gesuchsgegner unter Beilage der Doppel von Urk. 7, Urk. 9 und Urk. 10/2-8, die Vorinstanz und die Ober- gerichtskasse, je gegen Empfangsschein. Nach unbenutztem Ablauf der Rechtsmittelfrist gehen die erstinstanzlichen Akten an die Vorinstanz zurück.</w:t>
      </w:r>
    </w:p>
    <w:p>
      <w:r>
        <w:t>- 5 -</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 Obergericht des Kantons Zürich I. Zivilkammer Die Gerichtsschreiberin: MLaw I. Aeberhard versandt am: 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