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RH130004 vom 7. Januar 2014</w:t>
      </w:r>
    </w:p>
    <w:p>
      <w:r>
        <w:t>ZH Obergericht, 2014-01-07, DE</w:t>
      </w:r>
    </w:p>
    <w:p>
      <w:r>
        <w:rPr>
          <w:b/>
        </w:rPr>
        <w:t xml:space="preserve">Quelle: </w:t>
      </w:r>
      <w:r>
        <w:t>https://mcp.opencaselaw.ch/entscheid/zh_obergericht_RH130004</w:t>
      </w:r>
    </w:p>
    <w:p>
      <w:r>
        <w:t>FR: ZH_OBERGERICHT RH130004 du 7 janvier 2014</w:t>
      </w:r>
    </w:p>
    <w:p>
      <w:r>
        <w:t>IT: ZH_OBERGERICHT RH130004 del 7 gennaio 2014</w:t>
      </w:r>
    </w:p>
    <w:p>
      <w:pPr>
        <w:pStyle w:val="Heading2"/>
      </w:pPr>
      <w:r>
        <w:t>Erwägungen</w:t>
      </w:r>
    </w:p>
    <w:p>
      <w:r>
        <w:rPr>
          <w:b/>
        </w:rPr>
        <w:t>E. 10</w:t>
      </w:r>
    </w:p>
    <w:p>
      <w:r>
        <w:t>Oktober 2013 (Geschäft Nr. EB130307) oder auch diejenige des Beschlusses</w:t>
      </w:r>
    </w:p>
    <w:p>
      <w:r>
        <w:t>- 3 - der angerufenen Kammer vom 13. November 2013 (Geschäft Nr. RT130187) be- antragt. Von diesbezüglichen Weiterungen kann indes abgesehen werden, da auf die Revision ohnehin nicht einzutreten ist; dies ungeachtet der Frage, ob die bei- den in Betracht fallenden Entscheide bereits in Rechtskraft erwachsen sind, da die Frist zum Erheben einer Beschwerde ans Bundesgericht erst am 15. Dezem- ber 2013 abgelaufen ist (4/17/1-2). 2.2 Für eine Revision betreffend die Verfügung des Einzelgerichts im summarischen Verfahren vom 10. Oktober 2013 (Geschäfts Nr. EB130307) ist die Revisionsklägerin darauf hinzuweisen, dass örtlich und sachlich das Gericht zu- ständig ist, welches zuletzt in der Sache entschieden hat (Art. 328 Abs. 1 ZPO). Damit ist die angerufene Kammer für eine entsprechende Revision der Verfügung der Erstinstanz nicht zuständig, weshalb darauf nicht einzutreten ist. 2.3 Sollte die Revisionsklägerin auch die Revision des Beschlusses der angerufenen Kammer vom 13. November 2013 (Geschäft Nr. RT130187) bean- tragen, gilt folgendes: Zwar sind auch Rechtsmittelentscheide revisionsfähig, je- doch lediglich dann, wenn die Rechtsmittelinstanz in der Sache selbst entschie- den und ein Rechtsmittel gutgeheissen oder abgewiesen hat. Wird indes auf ein Rechtsmittel nicht eingetreten, so ist die Revision gegen diesen Rechtsmittelent- scheid nur zulässig, wenn sich der Revisionsgrund auf den Nichteintretensent- scheid als solchen bezieht (Freiburghaus/Afheldt in: Sutter-Somm/Hasenböh- ler/Leuenberger, Kommentar zur Schweizerischen Zivilprozessordnung [ZPO], 2. Auflage, Zürich/Basel/Genf 2013, Art. 328 N 7). Mit Beschluss vom 13. Novem- ber 2013 trat die angerufene Kammer auf die seitens der Revisionsklägerin (und damaligen Beschwerdeführerin) erhobene Beschwerde nicht ein (Urk. 4/16). Aus den von der Revisionsklägerin eingereichten Unterlagen ergibt sich keinerlei An- haltspunkt dafür, dass sich der Revisionsgrund auf den Nichteintretensentscheid als solchen beziehen würde, fehlt es doch gänzlich an der Nennung von Revisi- onsgründen. Dementsprechend wäre auf dieses Revisionsgesuch ebenso wenig einzutreten.</w:t>
      </w:r>
    </w:p>
    <w:p>
      <w:r>
        <w:t>- 4 - 3. Damit erweist sich das Revisionsgesuch als offensichtlich unbegründet, weshalb auf das Einholen einer Stellungnahme verzichtet werden kann (Art. 330 ZPO). 4.1 Die Gerichtskosten des Verfahrens sind auf Fr. 300.– festzusetzen und ausgangsgemäss der Revisionsklägerin aufzuerlegen (Art. 106 Abs. 1 ZPO). 4.2 Der Revisionsbeklagten ist mangels relevanter Umtriebe im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