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RG170001 vom 28. März 2017</w:t>
      </w:r>
    </w:p>
    <w:p>
      <w:r>
        <w:t>ZH Obergericht, 2017-03-28, DE</w:t>
      </w:r>
    </w:p>
    <w:p>
      <w:r>
        <w:rPr>
          <w:b/>
        </w:rPr>
        <w:t xml:space="preserve">Quelle: </w:t>
      </w:r>
      <w:r>
        <w:t>https://mcp.opencaselaw.ch/entscheid/zh_obergericht_RG170001</w:t>
      </w:r>
    </w:p>
    <w:p>
      <w:r>
        <w:t>FR: ZH_OBERGERICHT RG170001 du 28 mars 2017</w:t>
      </w:r>
    </w:p>
    <w:p>
      <w:r>
        <w:t>IT: ZH_OBERGERICHT RG170001 del 28 marzo 2017</w:t>
      </w:r>
    </w:p>
    <w:p>
      <w:pPr>
        <w:pStyle w:val="Heading2"/>
      </w:pPr>
      <w:r>
        <w:t>Erwägungen</w:t>
      </w:r>
    </w:p>
    <w:p>
      <w:r>
        <w:rPr>
          <w:b/>
        </w:rPr>
        <w:t>E. 1</w:t>
      </w:r>
    </w:p>
    <w:p>
      <w:r>
        <w:t>a) Mit Eingabe vom 24. November 2016 reichte der Gesuchsteller und Beschwerdeführer (fortan Gesuchsteller) bei der Vorinstanz ein Ausstandsbegeh- ren gegen Bezirksrichterin lic. iur. C._____ in den bei der Vorinstanz hängigen Verfahren betreffend Aufhebung des Zusammenlebens (EG160001-L) und Auflö- sung der eingetragenen Partnerschaft (FG160029-L) ein (Urk. 1). Mit Beschluss vom 13. Januar 2017 wurde darüber folgendermassen ent- schieden (Urk. 12 S. 7): " 1. Das Ausstandsbegehren des Gesuchstellers gegenüber Bezirks- richterin lic. iur. C._____ im Verfahren EG160001 wird abgewiesen.</w:t>
      </w:r>
    </w:p>
    <w:p>
      <w:r>
        <w:rPr>
          <w:b/>
        </w:rPr>
        <w:t>E. 2</w:t>
      </w:r>
    </w:p>
    <w:p>
      <w:r>
        <w:t>Das Ausstandsbegehren des Gesuchstellers gegenüber Bezirks- richterin lic. iur. C._____ im Verfahren FG160029 wird als gegen- standslos abgeschrieben.</w:t>
      </w:r>
    </w:p>
    <w:p>
      <w:r>
        <w:rPr>
          <w:b/>
        </w:rPr>
        <w:t>E. 3</w:t>
      </w:r>
    </w:p>
    <w:p>
      <w:r>
        <w:t>Die Entscheidgebühr wird auf Fr. 400.00 festgesetzt.</w:t>
      </w:r>
    </w:p>
    <w:p>
      <w:r>
        <w:rPr>
          <w:b/>
        </w:rPr>
        <w:t>E. 4</w:t>
      </w:r>
    </w:p>
    <w:p>
      <w:r>
        <w:t>Die Gerichtskosten werden dem Gesuchsteller auferlegt.</w:t>
      </w:r>
    </w:p>
    <w:p>
      <w:r>
        <w:rPr>
          <w:b/>
        </w:rPr>
        <w:t>E. 5</w:t>
      </w:r>
    </w:p>
    <w:p>
      <w:r>
        <w:t>Der Gesuchsteller wird verpflichtet, dem Gesuchsgegner eine Par- teientschädigung von Fr. 200.00 (inkl. Mehrwertsteuer) zu bezah- len.</w:t>
      </w:r>
    </w:p>
    <w:p>
      <w:r>
        <w:rPr>
          <w:b/>
        </w:rPr>
        <w:t>E. 6</w:t>
      </w:r>
    </w:p>
    <w:p>
      <w:r>
        <w:t>(Schriftliche Mitteilung.)</w:t>
      </w:r>
    </w:p>
    <w:p>
      <w:r>
        <w:rPr>
          <w:b/>
        </w:rPr>
        <w:t>E. 7</w:t>
      </w:r>
    </w:p>
    <w:p>
      <w:r>
        <w:t>Dem Gesuchsgegner wird für das Beschwerdeverfahren keine Parteient- schädigung zugesprochen.</w:t>
      </w:r>
    </w:p>
    <w:p>
      <w:r>
        <w:rPr>
          <w:b/>
        </w:rPr>
        <w:t>E. 8</w:t>
      </w:r>
    </w:p>
    <w:p>
      <w:r>
        <w:t>Schriftliche Mitteilung an die Parteien, an den Gesuchsgegner unter Beilage von Kopien der Urk. 11 und 13, sowie an die Vorinstanz, je gegen Emp- fangsschein. Die erstinstanzlichen Akten gehen nach unbenütztem Ablauf der Rechtsmit- telfrist an die Vorinstanz zurück.</w:t>
      </w:r>
    </w:p>
    <w:p>
      <w:r>
        <w:t>- 9 -</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Zwischenentscheid im Sinne von Art. 93 BGG. Es handelt sich um eine nicht vermögensrechtliche Angelegenheit. Die Beschwerde an das Bundesgericht hat keine aufschiebende Wirkung. Hinsichtlich des Fristenlaufs gelten die Art. 44 ff. BGG. Zürich, 28. März 2017 Obergericht des Kantons Zürich I. Zivilkammer Der Gerichtsschreiber: lic. iur. A. Baumgartner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