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RE250004 vom 17. Juni 2025</w:t>
      </w:r>
    </w:p>
    <w:p>
      <w:r>
        <w:t>ZH Obergericht, 2025-06-17, DE</w:t>
      </w:r>
    </w:p>
    <w:p>
      <w:r>
        <w:rPr>
          <w:b/>
        </w:rPr>
        <w:t xml:space="preserve">Quelle: </w:t>
      </w:r>
      <w:r>
        <w:t>https://mcp.opencaselaw.ch/entscheid/zh_obergericht_RE250004</w:t>
      </w:r>
    </w:p>
    <w:p>
      <w:r>
        <w:t>FR: ZH_OBERGERICHT RE250004 du 17 juin 2025</w:t>
      </w:r>
    </w:p>
    <w:p>
      <w:r>
        <w:t>IT: ZH_OBERGERICHT RE250004 del 17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19. Juni 2024 machte B._____ als Gesuchstellerin beim Be- zirksgericht Bülach ein Eheschutzbegehren rechtshängig und ersuchte gleichzeitig um Gewährung der unentgeltlichen Rechtspflege sowie Bestellung von Rechtsan- wältin MLaw A._____ als unentgeltliche Rechtsvertreterin (Urk. 6/1). Mit Verfügung vom 1. Juli 2024 wurde den Parteien Frist zur Einreichung mehrerer, näher be- stimmter Unterlagen angesetzt (Urk. 6/5 Disp. Ziff. 2). Mit Eingabe vom 29. Juli 2024 ersuchte die Gesuchstellerin um Erlass (super-)provisorischer Massnahmen (Urk. 6/11), wobei das Gesuch um Anordnung superprovisorischer Massnahmen am 30. Juli 2024 abgewiesen wurde (Urk. 6/14). Am 27. August 2024 reichten so- wohl die Gesuchstellerin als auch der Gesuchsgegner die einverlangten Unterlagen ein. Zudem begründete die Gesuchstellerin ihr bereits gestelltes Gesuch um Ge- währung der unentgeltlichen Rechtspflege näher (Urk. 6/16-17; Urk. 6/18). Am 30. August 2024 fand die Hauptverhandlung statt, an welcher die Parteien eine um- fassende Vereinbarung treffen konnten (Prot. I S. 23 i.V.m. Urk. 6/23). Gleichen- tags erliess die Vorinstanz folgenden Entscheid (Urk. 6/24 S. 5 ff.): Es wird verfügt: [....]</w:t>
      </w:r>
    </w:p>
    <w:p>
      <w:r>
        <w:rPr>
          <w:b/>
        </w:rPr>
        <w:t>E. 3</w:t>
      </w:r>
    </w:p>
    <w:p>
      <w:r>
        <w:t>Beiden Parteien wird für den nicht durch die Rechtsschutzversicherung gedeckten Anteil der Prozesskosten die unentgeltliche Rechtspflege be- willigt.</w:t>
      </w:r>
    </w:p>
    <w:p>
      <w:r>
        <w:rPr>
          <w:b/>
        </w:rPr>
        <w:t>E. 4</w:t>
      </w:r>
    </w:p>
    <w:p>
      <w:r>
        <w:t>Der Gesuchstellerin wird in der Person von Rechtsanwältin MLaw A._____ eine unentgeltliche Rechtsbeiständin bestellt. Dem Gesuchsgegner wird in der Person von Rechtsanwalt lic. iur. X._____ ein unentgeltlicher Rechtsbeistand bestellt. […] Es wird erkannt: 1. Die Vereinbarung der Parteien vom 30. August 2024 wird genehmigt. Sie lautet wie folgt: […]</w:t>
      </w:r>
    </w:p>
    <w:p>
      <w:r>
        <w:t>- 3 -</w:t>
      </w:r>
    </w:p>
    <w:p>
      <w:r>
        <w:rPr>
          <w:b/>
        </w:rPr>
        <w:t>E. 9</w:t>
      </w:r>
    </w:p>
    <w:p>
      <w:r>
        <w:t>Kosten- und Entschädigungsfolgen Der Gesuchsgegner übernimmt die Gerichtskosten und bezahlt der Ge- suchstellerin eine Parteientschädigung in der Höhe der ausgewiesenen Aufwendungen der Rechtsvertretung der Gesuchstellerin. […] 2.-4. […] 5. Von der Verpflichtung des Gesuchsgegners, der Gesuchstellerin eine Parteientschädigung in der Höhe der ausgewiesenen Aufwendungen der Rechtsvertretung der Gesuchstellerin zu bezahlen, wird Vormerk genom- men. […] Am 5. November 2024 teilte Rechtsanwältin MLaw A._____ der Vorinstanz mit, dass die Rechtsschutzversicherung des Gesuchsgegners für ihre Aufwendungen nicht aufkommen werde, und ersuchte um Auszahlung einer Entschädigung als un- entgeltliche Rechtsvertreterin der Gesuchstellerin von Fr. 11'371.35 (Fr. 10'339.70 Honorar + Fr. 179.60 Spesen + Fr. 852.05 Mehrwertsteuerzuschlag; Urk. 6/27-28). Auf entsprechende Aufforderung bestätigte auch der Rechtsvertreter des Gesuchs- gegners, dass die Rechtsschutzversicherung des Gesuchsgegners nicht für die An- waltskosten der Gesuchstellerin aufkommen werde (Urk. 6/30 und 6/36; s.a. Urk. 6/34). Am 21. Februar 2025 erliess die Vorinstanz folgende Verfügung (Urk. 6/41 S. 7 f. = Urk. 2 S. 7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