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RE240006 vom 31. Oktober 2024</w:t>
      </w:r>
    </w:p>
    <w:p>
      <w:r>
        <w:t>ZH Obergericht, 2024-10-31, DE</w:t>
      </w:r>
    </w:p>
    <w:p>
      <w:r>
        <w:rPr>
          <w:b/>
        </w:rPr>
        <w:t xml:space="preserve">Quelle: </w:t>
      </w:r>
      <w:r>
        <w:t>https://mcp.opencaselaw.ch/entscheid/zh_obergericht_RE240006</w:t>
      </w:r>
    </w:p>
    <w:p>
      <w:r>
        <w:t>FR: ZH_OBERGERICHT RE240006 du 31 octobre 2024</w:t>
      </w:r>
    </w:p>
    <w:p>
      <w:r>
        <w:t>IT: ZH_OBERGERICHT RE240006 del 31 ottobre 2024</w:t>
      </w:r>
    </w:p>
    <w:p>
      <w:pPr>
        <w:pStyle w:val="Heading2"/>
      </w:pPr>
      <w:r>
        <w:t>Erwägungen</w:t>
      </w:r>
    </w:p>
    <w:p>
      <w:r>
        <w:rPr>
          <w:b/>
        </w:rPr>
        <w:t>E. 1</w:t>
      </w:r>
    </w:p>
    <w:p>
      <w:r>
        <w:t>Die Gesuchstellerin (Beschwerdeführerin) machte mit Eingabe vom 2. Sep- tember 2024 das vorliegende Beschwerdeverfahren anhängig (Urk. 1). Mit vor Vor- instanz geschlossener Vereinbarung vom 24. Oktober 2024 zog sie die Be- schwerde zurück (Urk. 8/21 Ziffer 6; Urk. 8/22 Dispositiv-Ziffer 1 Ziffer 6; vgl. auch Urk. 7). Das Verfahren ist entsprechend abzuschreiben (Art. 241 Abs. 3 ZPO).</w:t>
      </w:r>
    </w:p>
    <w:p>
      <w:r>
        <w:rPr>
          <w:b/>
        </w:rPr>
        <w:t>E. 2</w:t>
      </w:r>
    </w:p>
    <w:p>
      <w:r>
        <w:t>Die zweitinstanzliche Entscheidgebühr wird auf Fr. 100.– festgesetzt.</w:t>
      </w:r>
    </w:p>
    <w:p>
      <w:r>
        <w:rPr>
          <w:b/>
        </w:rPr>
        <w:t>E. 3</w:t>
      </w:r>
    </w:p>
    <w:p>
      <w:r>
        <w:t>Die Gerichtskosten des Rechtsmittelverfahrens werden der Gesuchstellerin auferlegt.</w:t>
      </w:r>
    </w:p>
    <w:p>
      <w:r>
        <w:rPr>
          <w:b/>
        </w:rPr>
        <w:t>E. 4</w:t>
      </w:r>
    </w:p>
    <w:p>
      <w:r>
        <w:t>Es werden keine Parteientschädigungen zugesprochen.</w:t>
      </w:r>
    </w:p>
    <w:p>
      <w:r>
        <w:rPr>
          <w:b/>
        </w:rPr>
        <w:t>E. 5</w:t>
      </w:r>
    </w:p>
    <w:p>
      <w:r>
        <w:t>Schriftliche Mitteilung an die Parteien im Beschwerdeverfahren, an den Be- schwerdegegner unter Beilage der Doppel bzw. Kopien von Urk. 1, 3 und 4/2-4, sowie an den Gesuchsgegner im Hauptverfahren, je gegen Emp- fangsschein. Die erstinstanzlichen Akten befinden sich bei der Vorinstanz.</w:t>
      </w:r>
    </w:p>
    <w:p>
      <w:r>
        <w:rPr>
          <w:b/>
        </w:rPr>
        <w:t>E. 6</w:t>
      </w:r>
    </w:p>
    <w:p>
      <w:r>
        <w:t>Eine Beschwerde gegen diesen Entscheid an das Bundesgericht ist innert 30 Tagen von der Zustellung an beim Schweizerischen Bundesgericht, 1000 Lausanne 14, einzureichen. Zulässigkeit und Form einer solchen Be-</w:t>
      </w:r>
    </w:p>
    <w:p>
      <w:r>
        <w:t>- 3 - schwerde richten sich nach Art. 72 ff. (Beschwerde in Zivilsachen) oder Art. 113 ff. (subsidiäre Verfassungsbeschwerde) in Verbindung mit Art. 42 des Bundesgesetzes über das Bundesgericht (BGG). Dies ist ein Zwischenentscheid im Sinne von Art. 92 BGG. Es handelt sich in der Hauptsache um eine nicht vermögensrechtliche Angelegenheit. Die Beschwerde an das Bundesgericht hat keine aufschiebende Wirkung. Hinsichtlich des Fristenlaufs gelten die Art. 44 ff. BGG. Die Anfechtung einer Parteierklärung (Vergleich, Anerkennung oder Rückzug des Begehrens) hat nicht mit Beschwerde an das Bundesgericht, sondern mit Revision beim Obergericht zu erfolgen (Art. 328 ff. ZPO). Zürich, 31. Oktober 2024 Obergericht des Kantons Zürich I. Zivilkammer Die Gerichtsschreiberin: MLaw D. Frangi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