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RE200005 vom 6. April 2020</w:t>
      </w:r>
    </w:p>
    <w:p>
      <w:r>
        <w:t>ZH Obergericht, 2020-04-06, DE</w:t>
      </w:r>
    </w:p>
    <w:p>
      <w:r>
        <w:rPr>
          <w:b/>
        </w:rPr>
        <w:t xml:space="preserve">Quelle: </w:t>
      </w:r>
      <w:r>
        <w:t>https://mcp.opencaselaw.ch/entscheid/zh_obergericht_RE200005</w:t>
      </w:r>
    </w:p>
    <w:p>
      <w:r>
        <w:t>FR: ZH_OBERGERICHT RE200005 du 6 avril 2020</w:t>
      </w:r>
    </w:p>
    <w:p>
      <w:r>
        <w:t>IT: ZH_OBERGERICHT RE200005 del 6 aprile 2020</w:t>
      </w:r>
    </w:p>
    <w:p>
      <w:pPr>
        <w:pStyle w:val="Heading2"/>
      </w:pPr>
      <w:r>
        <w:t>Erwägungen</w:t>
      </w:r>
    </w:p>
    <w:p>
      <w:r>
        <w:rPr>
          <w:b/>
        </w:rPr>
        <w:t>E. 1</w:t>
      </w:r>
    </w:p>
    <w:p>
      <w:r>
        <w:t>a) Die Parteien stehen vor Vorinstanz seit dem 24. Januar 2020 in ei- nem Eheschutzverfahren, in welchem es um die Bewilligung des Getrenntlebens und die Regelung der Folgen geht (Urk. 3/1 und 3/2). Mit Eingabe vom 3. März 2020 beantragte die Gesuchstellerin und Beschwerdegegnerin (fortan Gesuch- stellerin) die Sistierung des Eheschutzverfahrens, um eine Regelung des Ge- trenntlebens im Rahmen einer Mediation zu versuchen, sowie um Abnahme der Frist zur Begründung des Eheschutzbegehrens (Urk. 3/6). Mit Verfügung vom</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in einem Verfahren betreffend vorsorgliche Massnahmen im Sinne von Art. 98 BGG. Es handelt sich um eine nicht vermögensrechtliche Angelegenheit. Die Beschwerde an das Bundesgericht hat keine aufschiebende Wirkung. Hinsichtlich des Fristenlaufs gelten die Art. 44 ff. BGG sowie die im Zusammenhang mit dem Coronavirus ergangene Verordnung des Bundesrates vom 20. März 2020 betref- fend Zivilverfahren. Zürich, 6. April 2020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