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RE190010 vom 29. Oktober 2019</w:t>
      </w:r>
    </w:p>
    <w:p>
      <w:r>
        <w:t>ZH Obergericht, 2019-10-29, DE</w:t>
      </w:r>
    </w:p>
    <w:p>
      <w:r>
        <w:rPr>
          <w:b/>
        </w:rPr>
        <w:t xml:space="preserve">Quelle: </w:t>
      </w:r>
      <w:r>
        <w:t>https://mcp.opencaselaw.ch/entscheid/zh_obergericht_RE190010</w:t>
      </w:r>
    </w:p>
    <w:p>
      <w:r>
        <w:t>FR: ZH_OBERGERICHT RE190010 du 29 octobre 2019</w:t>
      </w:r>
    </w:p>
    <w:p>
      <w:r>
        <w:t>IT: ZH_OBERGERICHT RE190010 del 29 ottobre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Anfang Juli 2018 leitete die Gesuchsgegnerin und Beschwerdegeg- nerin (fortan Gesuchsgegnerin) vor Vorinstanz ein Verfahren betreffend Anord- nung von Eheschutzmassnahmen ein, wobei sie unter anderem auch die Anord- nung superprovisorischer Massnahmen beantragte (Urk. 6/1 und Urk. 6/3). Die</w:t>
      </w:r>
    </w:p>
    <w:p>
      <w:r>
        <w:t>- 2 - Parteien sind die Eltern der beiden Töchter C._____, geboren am tt.mm.2015, und D._____, geboren am tt.mm.2017. Anlässlich der vorinstanzlichen Verhand- lung vom 5. November 2018 stellten beide Parteien Anträge in der Hauptsache; der Gesuchsteller und Beschwerdeführer (fortan Gesuchsteller) überdies zu den vorsorglichen Massnahmen (Urk. 6/36 und Urk. 6/38, Prot. I S. 5ff.). In deren Ver- lauf schlossen sie eine Vereinbarung hinsichtlich der Kinderbelange Obhut und Besuchsrecht ab, welche mit Verfügung vom 13. Dezember 2018 genehmigt wur- de (Urk. 6/40 und 6/47). Mit Verfügung vom 25. Juni 2019 ordnete die Vorinstanz superprovisorisch ein Ferienbesuchsrecht des Gesuchstellers an, beginnend ab</w:t>
      </w:r>
    </w:p>
    <w:p>
      <w:r>
        <w:rPr>
          <w:b/>
        </w:rPr>
        <w:t>E. 4</w:t>
      </w:r>
    </w:p>
    <w:p>
      <w:r>
        <w:t>Juli 2019 (Urk. 6/74). Mit Eingabe vom 3. Juli 2019 liess die Gesuchsgegnerin die Wiedererwägung dieser Verfügung beantragen (Urk. 6/76); am 4. Juli 2019 liess sie gegenüber der Vorinstanz den Rückzug ihres Eheschutzbegehrens und die Beendigung des Mandats ihres damaligen Rechtsvertreters lic. iur Y2._____ erklären (Urk. 6/82). In diesen Tagen reiste die Gesuchsgegnerin ferner mit den beiden Töchtern ohne die Zustimmung des Gesuchstellers nach E.____ aus, nachdem sie sich in Zürich nach E._____ abgemeldet hatte (Urk. 6/87). Mit Ver- fügung vom 4. Juli 2019 entschied die Vorinstanz unter anderem, dass die Rück- zugserklärung der Gesuchsgegnerin das Verfahren aufgrund der eigenen Anträge des Gesuchstellers nicht zu beenden vermöge und das erstinstanzliche Ehe- schutzverfahren nunmehr mit getauschten Parteirollen fortzuführen sei (Urk. 6/84). Dieser Entscheid wurde mit Beschluss der Kammer vom 19. August 2019 bestätigt (Urk. 6/105). Am 18. Juli 2019 teilte die Gesuchsgegnerin der Vorinstanz per Faxeingabe unaufgefordert ihre neue Wohnadresse in E._____ mit (Urk. 6/94). Daraufhin reichte der Gesuchsteller mit Eingabe vom 22. Juli 2019 ein Ge- such um Abänderung der mit Verfügung vom 13. Dezember 2018 angeordneten vorsorglichen Massnahmen ein, wobei sämtliche Begehren im Sinne von super- provisorischen Massnahmen zu erlassen seien. Zudem ersuchte er um Abände- rung des anlässlich der mündlichen Verhandlung geschlossenen Vergleichs ohne vorgängige Anhörung der Gesuchsgegnerin (Urk. 6/95). b) Mit Verfügung vom 26. Juli 2019 entschied die Vorinstanz mit Bezug auf die Anträge des Gesuchstellers vom 22. Juli 2019 Folgendes (Urk. 2 S. 18f.):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