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RE190007 vom 18. Juli 2019</w:t>
      </w:r>
    </w:p>
    <w:p>
      <w:r>
        <w:t>ZH Obergericht, 2019-07-18, DE</w:t>
      </w:r>
    </w:p>
    <w:p>
      <w:r>
        <w:rPr>
          <w:b/>
        </w:rPr>
        <w:t xml:space="preserve">Quelle: </w:t>
      </w:r>
      <w:r>
        <w:t>https://mcp.opencaselaw.ch/entscheid/zh_obergericht_RE190007</w:t>
      </w:r>
    </w:p>
    <w:p>
      <w:r>
        <w:t>FR: ZH_OBERGERICHT RE190007 du 18 juillet 2019</w:t>
      </w:r>
    </w:p>
    <w:p>
      <w:r>
        <w:t>IT: ZH_OBERGERICHT RE190007 del 18 luglio 2019</w:t>
      </w:r>
    </w:p>
    <w:p>
      <w:pPr>
        <w:pStyle w:val="Heading2"/>
      </w:pPr>
      <w:r>
        <w:t>Erwägungen</w:t>
      </w:r>
    </w:p>
    <w:p>
      <w:r>
        <w:rPr>
          <w:b/>
        </w:rPr>
        <w:t>E. 1</w:t>
      </w:r>
    </w:p>
    <w:p>
      <w:r>
        <w:t>Die Parteien stehen sich seit März 2019 vor Vorinstanz in einem Eheschutz- verfahren gegenüber (Urk. 1). Mit Verfügung vom 7. Juni 2019 wurde das Ehe- schutzverfahren bis zum Vorliegen eines rechtskräftigen Hauptsachenentscheides der zuständigen Kindes- und Erwachsenenschutzbehörde (fortan KESB) sistiert (Urk. 27).</w:t>
      </w:r>
    </w:p>
    <w:p>
      <w:r>
        <w:rPr>
          <w:b/>
        </w:rPr>
        <w:t>E. 2</w:t>
      </w:r>
    </w:p>
    <w:p>
      <w:r>
        <w:t>Dem Beschwerdeführer sei die unentgeltliche Rechtspflege zu bewilligen und Rechtsanwalt X._____, … Luzern, als unentgeltlicher Rechtsbeistand zu bestel- len.</w:t>
      </w:r>
    </w:p>
    <w:p>
      <w:r>
        <w:rPr>
          <w:b/>
        </w:rPr>
        <w:t>E. 3</w:t>
      </w:r>
    </w:p>
    <w:p>
      <w:r>
        <w:t>In der Tat wurde das Verfahren sistiert, ohne die Parteien vorgängig anzuhö- ren. Art. 126 Abs. 1 ZPO, der die Sistierung des Verfahrens regelt, sagt nichts zur Gewährung des rechtlichen Gehörs vor dem Entscheid. Es sind demnach die all- gemeinen Grundsätze gemäss Art. 53 Abs. 1 ZPO anzuwenden, welche dem Normgehalt von Art. 29 Abs. 2 BV entsprechen (BGer 4A_527/2011 vom 5. März 2012 E. 2.6, nicht publ. in: BGE 138 III 213). Lehre und Rechtsprechung sind sich einig, dass die Parteien zur Frage der Sistierung vorgängig anzuhören sind (BGer 4A_307/2016 vom 8. November 2016, E. 2.1-2.4; Kaufmann, DIKE-Komm-ZPO, Art. 126 N 20; ZK ZPO-Staehelin, Art. 126 N 4; BK ZPO-Frei, Art. 126 N 14 f.). Hintergrund ist die besondere Tragweite des Sistierungsentscheides, welcher im Konflikt mit dem Beschleunigungsgebot steht und damit das verfassungsmässige Verbot der Rechtsverzögerung tangieren kann. Die Bedeutung, die der Gesetz- geber dem (positiven) Sistierungsentscheid zumisst, zeigt sich darin, dass aus- drücklich die Beschwerdemöglichkeit eingeräumt wird (Art. 126 Abs. 2 ZPO). Die</w:t>
      </w:r>
    </w:p>
    <w:p>
      <w:r>
        <w:t>- 5 - Nichtgewährung der Möglichkeit zur vorgängigen Stellungnahme verletzt daher den Anspruch auf rechtliches Gehör.</w:t>
      </w:r>
    </w:p>
    <w:p>
      <w:r>
        <w:rPr>
          <w:b/>
        </w:rPr>
        <w:t>E. 4</w:t>
      </w:r>
    </w:p>
    <w:p>
      <w:r>
        <w:t>Wird eine Verweigerung des rechtlichen Gehörs durch die Vorinstanz fest- gestellt, so leidet der Entscheid an einem schweren Mangel und wird aufgrund der formellen Natur des Gehörsanspruchs, unabhängig davon, ob der Entscheid ohne die Verletzung anders ausgefallen wäre, aufgehoben (ZK ZPO-Sutter-Somm/ Chevalier, Art. 53 N 26). Ausnahmsweise kann die Verletzung von der Rechtsmit- telinstanz geheilt werden, wenn die Verletzung des rechtlichen Gehörs nicht gra- vierend ist und die Rechtsmittelinstanz die gleiche Kognition in Tat- und Rechts- fragen hat wie die Vorinstanz (ZK ZPO-Sutter-Somm/Chevalier, a.a.O., Art. 53 N 27). Da die Beschwerdeinstanz in Tatfragen nicht über die gleiche Kognition verfügt wie die Vorinstanz (vgl. Art. 320 ZPO; ZK ZPO-Freiburghaus/Afheldt, Art. 320 N 5, Art. 326 N 4), ist eine Heilung der Gehörsverletzung ausgeschlos- sen. Die angefochtene Verfügung ist daher in Gutheissung der Beschwerde auf- zuheben und die Sache ist zur Wahrung des rechtlichen Gehörs der Parteien an die Vorinstanz zurückzuweisen (Art. 327 Abs. 3 lit. a ZPO).</w:t>
      </w:r>
    </w:p>
    <w:p>
      <w:r>
        <w:rPr>
          <w:b/>
        </w:rPr>
        <w:t>E. 5</w:t>
      </w:r>
    </w:p>
    <w:p>
      <w:r>
        <w:t>Eine Auseinandersetzung mit der von der Vorinstanz verfügten Sistierung des Verfahrens kann daher unterbleiben. Lediglich der Vollständigkeit halber sei angemerkt, dass sich eine Sistierung des Eheschutzverfahrens mit der von der Vorinstanz derzeit angeführten Begründung kaum rechtfertigen liesse. Da die Ge- suchsgegnerin noch keine Anträge in der Sache gestellt hat, steht noch nicht fest, ob im Eheschutzverfahren überhaupt Kinderbelange (wie z.B. der persönliche Verkehr zu einem Stiefelternteil nach Art. 274a Abs. 1 ZGB) zu regeln sind. Es kann daher nicht gesagt werden, dass der Eheschutzentscheid bezüglich der Kin- derbelange vom Entscheid der zuständigen KESB abhänge. Sollte die Gesuchs- gegnerin im weiteren Verlauf des Eheschutzverfahrens solche Anträge stellen, bleibt schliesslich sehr fraglich, ob die Zuständigkeit zum Erlass von Kindes- schutzmassnahmen auf das Eheschutzgericht übergeht, denn es sind nicht "die Beziehungen der Eltern zu den Kindern zu gestalten" (Art. 315a Abs. 1 ZGB).</w:t>
      </w:r>
    </w:p>
    <w:p>
      <w:r>
        <w:t>- 6 - D. Kosten- und Entschädigungsfolgen 1. Aufgrund der Verletzung des rechtlichen Gehörs durch die Vorinstanz und des Verzichts der Gesuchsgegnerin auf die Erstattung einer Beschwerdeantwort wären in Anwendung von Art. 107 Abs. 2 ZPO die Gerichtskosten dem Kanton aufzuerlegen. Gemäss § 200 lit. a GOG i.V.m. Art. 116 Abs. 1 ZPO werden dem Kanton in Zivilverfahren jedoch keine Gerichtskosten auferlegt. Mithin sind keine Kosten zu erheben. Für die Zusprechung einer Entschädigung an die Parteien besteht keine Rechtsgrundlage (OGer ZH PC130059-O vom 7. Januar 2014, E. 6 m.w.H.; siehe auch CAN 2014 Nr. 33 S. 87). 2. Der Gesuchsteller ersucht schliesslich um unentgeltliche Rechtspflege und Rechtsverbeiständung für das Beschwerdeverfahren. Da sich die Mittellosigkeit des Gesuchstellers aus den Akten (insbesondere Urk. 34/9-17, 23-31) ergibt, sei- ne Beschwerde nicht aussichtslos war und er zur Bewältigung des Prozesses auf die Unterstützung eines Rechtsvertreters angewiesen ist, ist ihm Rechtsanwalt ass. iur. X._____ als unentgeltlicher Rechtsbeistand für das Beschwerdeverfahren zu bestellen. Hinsichtlich der Befreiung von den Gerichtskosten ist das Armen- rechtsgesuch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