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RE190002 vom 8. Mai 2019</w:t>
      </w:r>
    </w:p>
    <w:p>
      <w:r>
        <w:t>ZH Obergericht, 2019-05-08, DE</w:t>
      </w:r>
    </w:p>
    <w:p>
      <w:r>
        <w:rPr>
          <w:b/>
        </w:rPr>
        <w:t xml:space="preserve">Quelle: </w:t>
      </w:r>
      <w:r>
        <w:t>https://mcp.opencaselaw.ch/entscheid/zh_obergericht_RE190002</w:t>
      </w:r>
    </w:p>
    <w:p>
      <w:r>
        <w:t>FR: ZH_OBERGERICHT RE190002 du 8 mai 2019</w:t>
      </w:r>
    </w:p>
    <w:p>
      <w:r>
        <w:t>IT: ZH_OBERGERICHT RE190002 del 8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10. Oktober 2018 (persönlich überbracht am 11. Oktober 2018) reichte die Gesuchstellerin und Beschwerdeführerin (fortan Gesuchstelle- rin) bei der Vorinstanz ein Eheschutzgesuch ein (Urk. 6/1). Am 12. Oktober 2018 reichte auch der Gesuchsgegner (im Hauptverfahren) ein Eheschutzbegehen samt Beilagen ein (Urk. 6/2 - 6/4). Am 19. Oktober 2018 lud die Vorinstanz die Parteien zur Hauptverhandlung auf den 8. Februar 2019 vor (Urk. 6/5). Mit Schreiben vom 3. Dezember 2018 zeigte Rechtsanwalt lic. iur. X._____ an, dass die Gesuchstellerin ihn mit der Wahrung ihrer Interessen beauftragt habe, und stellte namens der Gesuchstellerin ein Gesuch um unentgeltliche Rechtspflege (Urk. 6/6).</w:t>
      </w:r>
    </w:p>
    <w:p>
      <w:r>
        <w:rPr>
          <w:b/>
        </w:rPr>
        <w:t>E. 2</w:t>
      </w:r>
    </w:p>
    <w:p>
      <w:r>
        <w:t>Noch vor Durchführung der Hauptverhandlung zog der Gesuchsgegner am 11. Januar 2019 sein Eheschutzbegehren vom 12. Oktober 2018 sowie die pro- zessualen Anträge zurück, da die Parteien einen nochmaligen Neuanfang in ihrer ehelichen Beziehung versuchen wollten (Urk. 6/9). Am 23. Januar 2019 zog auch die Gesuchstellerin ihr Eheschutzgesuch zurück, hielt indessen am Antrag um unentgeltliche Rechtspflege fest (Urk. 6/11). Mit Verfügung vom 1. Februar 2019 erliess die Vorinstanz den folgenden Entscheid (Urk. 6/14 = Urk. 2 S. 8 f.):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