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RE140022 vom 5. November 2014</w:t>
      </w:r>
    </w:p>
    <w:p>
      <w:r>
        <w:t>ZH Obergericht, 2014-11-05, DE</w:t>
      </w:r>
    </w:p>
    <w:p>
      <w:r>
        <w:rPr>
          <w:b/>
        </w:rPr>
        <w:t xml:space="preserve">Quelle: </w:t>
      </w:r>
      <w:r>
        <w:t>https://mcp.opencaselaw.ch/entscheid/zh_obergericht_RE140022</w:t>
      </w:r>
    </w:p>
    <w:p>
      <w:r>
        <w:t>FR: ZH_OBERGERICHT RE140022 du 5 novembre 2014</w:t>
      </w:r>
    </w:p>
    <w:p>
      <w:r>
        <w:t>IT: ZH_OBERGERICHT RE140022 del 5 novembre 2014</w:t>
      </w:r>
    </w:p>
    <w:p>
      <w:pPr>
        <w:pStyle w:val="Heading2"/>
      </w:pPr>
      <w:r>
        <w:t>Erwägungen</w:t>
      </w:r>
    </w:p>
    <w:p>
      <w:r>
        <w:rPr>
          <w:b/>
        </w:rPr>
        <w:t>E. 1</w:t>
      </w:r>
    </w:p>
    <w:p>
      <w:r>
        <w:t>Die Parteien standen sich vor Vorinstanz in einem Eheschutzverfahren ge- genüber. Anlässlich der Hauptverhandlung vom 14. August 2014 schlossen sie unter Mitwirkung des Gerichts eine Trennungsvereinbarung, welche mit Urteil vom 2. September 2014 vorgemerkt und hinsichtlich der Kinderbelan- ge genehmigt wurde (Urk. 25). Das Gesuch der Klägerin um Gewährung der unentgeltlichen Rechtspflege wurde mit Bezug auf die unentgeltliche Pro- zessführung bewilligt, aber hinsichtlich einer unentgeltlichen Rechtsverbei- ständung abgewiesen (Urk. 25 Dispositiv-Ziff. 3 der Verfügung vom 2. Sep- tember 2014).</w:t>
      </w:r>
    </w:p>
    <w:p>
      <w:r>
        <w:rPr>
          <w:b/>
        </w:rPr>
        <w:t>E. 2</w:t>
      </w:r>
    </w:p>
    <w:p>
      <w:r>
        <w:t>Die Vorinstanz hat die Notwendigkeit einer unentgeltlichen Rechtsverbei- ständung verneint und diesbezüglich erwogen, es habe sich um ein ganz normales, keinerlei besondere Schwierigkeiten bereitendes Eheschutzver- fahren gehandelt, welches sich primär darin erschöpft habe, die Belege für die Festsetzung der Unterhaltsbeiträge zu sammeln und diese auszuwerten. Mit Bezug auf die elterliche Sorge, Obhut, persönlicher Verkehr, Gütertren- nung, Zuteilung der ehelichen Wohnung, Verteilung der Effekten und die Un- terhaltsbeiträge seien sich die Parteien in der mündlichen Befragung im We- sentlichen einig gewesen. Die einzige Uneinigkeit habe die Errichtung der Beistandschaft betroffen, wobei zu beachten sei, dass ein Beistand nur zur Unterstützung tätig werde, falls sich die Parteien über die Modalitäten des persönlichen Verkehrs nicht einigen könnten, wofür anlässlich der Hauptver- handlung keine objektiven Anhaltspunkte bestanden hätten. Es sei schlicht nicht ersichtlich, wozu die Klägerin im vorliegenden Verfahren, welches we- der besondere tatsächliche, geschweige denn rechtliche Schwierigkeiten aufgewiesen habe, und sich die Parteien ausserdem in den wesentlichen Punkten einig gewesen seien, einer anwaltlichen Vertretung bedurft habe (Urk. 25 S. 7 f.).</w:t>
      </w:r>
    </w:p>
    <w:p>
      <w:r>
        <w:rPr>
          <w:b/>
        </w:rPr>
        <w:t>E. 3</w:t>
      </w:r>
    </w:p>
    <w:p>
      <w:r>
        <w:t>Gegenstand des vorliegenden Eheschutzverfahrens waren die Zuteilung der Obhut über den gemeinsamen Sohn B._____, die Ausgestaltung des per- sönlichen Verkehrs, die Errichtung einer Beistandschaft, die Zuteilung der ehelichen Wohnung, Ehegatten- und Kinderunterhalt sowie die Anordnung der Gütertrennung. Mit der von der Klägerin beantragten Obhutszuteilung an sich erklärte sich der Beklagte anlässlich der Parteibefragung nur notge- drungen einverstanden. Er führte auf die Frage, ob er mit der Obhutszutei- lung an die Klägerin einverstanden sei, aus:" Ich muss zurzeit, damit einver- standen sein, da ich keinen festen Wohnsitz habe. Es ist nicht so, dass ich es grundsätzlich akzeptiere." (VI-Prot. S. 10). Auch die Regelung des per- sönlichen Verkehrs zwischen dem Beklagten und dem Sohn B._____ gab Anlass zu Diskussionen, nachdem die Klägerin ein zweiwöchentliches Be- suchsrecht für vier Stunden beantragte und der Beklagte einen Nachmittag pro Woche als angemessen erachtete, um die Vater-Sohn-Beziehung auf-</w:t>
      </w:r>
    </w:p>
    <w:p>
      <w:r>
        <w:t>- 4 - recht zu erhalten (VI-Prot. S. 12). Die Forderung der Klägerin nach einem begleiteten Besuchsrecht verstand der Beklagte nicht (VI-Prot. S. 12). Im Rahmen der Vereinbarung wurde das Besuchsrecht zwar unbegleitet fest- gesetzt, aber den Bedenken der Klägerin insofern Rechnung getragen, als dass in einer ersten Phase keine Übernachtungsbesuche stattfinden werden und die in der zweiten Phase folgenden Übernachtungsbesuche an die Be- dingung geknüpft wurden, dass der Beklagte über eine Wohnung verfüge. Ausserdem wurde die Errichtung einer Beistandschaft vereinbart. Auch mit Bezug auf die Unterhaltspflicht des Beklagten lag keine Einigkeit vor. Während die Klägerin Ehegatten- und Kinderunterhaltsbeiträge von ge- samthaft Fr. 1'800.– bzw. Fr. 1'850.– ab 1. Juli 2014 verlangte, war der Be- klagte lediglich bereit, für den Sohn B._____ Unterhaltsbeiträge zu bezah- len, wobei ihm die von der Klägerin geforderten Fr. 1'000.– als etwas viel vorkamen (VI-Prot. S. 15). Im Rahmen des Vergleichs wurde schliesslich auf eine Verpflichtung zur Bezahlungen von Ehegattenunterhalt verzichtet und für den Sohn B._____ ein Unterhaltsbeitrag von Fr. 330.– ab 1. Januar 2015 vereinbart (Urk. 15 Ziff. 4a und b). Aus Ziffer 4c der Parteivereinbarung geht hervor, dass auf Seiten des Beklagten ab 1. Januar 2015 mit einem hypo- thetischen Einkommen gerechnet wurde.</w:t>
      </w:r>
    </w:p>
    <w:p>
      <w:r>
        <w:rPr>
          <w:b/>
        </w:rPr>
        <w:t>E. 4</w:t>
      </w:r>
    </w:p>
    <w:p>
      <w:r>
        <w:t>Das Gesagte zeigt, dass entgegen der Darstellung der Vorinstanz nicht be- züglich sämtlichen wesentlichen Punkte Einigkeit herrschte und sich das Verfahren damit keineswegs auf das Sammeln der Belege zur Berechnung des Unterhaltsanspruches der Klägerin beschränkte. Aus der Tatsache, dass schlussendlich unter Mitwirkung des Gerichts eine Vereinbarung erzielt werden konnte, kann nicht geschlossen werden, dass sich die Parteien von Vornherein einig gewesen wären. Vielmehr galt es, zahlreiche Differenzen von durchaus grosser Tragweite für die Parteien zu bereinigen. Gerade mit Blick auf die Kinderbelange stellten sich in diesem Zusammenhang komple- xe Fragen, welche ein juristischer Laie nicht in jedem Fall selber überblicken kann. So erforderten es die Umstände, dass den Bedenken der Klägerin be- züglich eines gerichtsüblichen Besuchsrechts Rechnung zu tragen war,</w:t>
      </w:r>
    </w:p>
    <w:p>
      <w:r>
        <w:t>- 5 - weshalb Schutzmassnahmen wie ein begleitetes Besuchsrecht oder die Er- richtung einer Beistandschaft diskutiert wurden. Es liegt auf der Hand, dass die Klägerin als juristische Lain diese Rechtsinstitute (begleitetes Besuchs- recht, Beistandschaft) nicht kannte und damit nicht in der Lage war, die er- forderlichen Rechtsbegehren und Anträge zu formulieren. Der in Kinderbe- langen geltende uneingeschränkte Untersuchungsgrundsatz ändert daran nichts, nachdem dieser die am Verfahren Beteiligten nicht davon entbindet, durch Sachverhaltshinweise oder Beweisangaben selber am Verfahren mit- zuwirken. Die sachgerechte Formulierung der Rechtsbegehren ist Sache der Parteien. Sie setzt voraus, dass diese die sich stellenden Rechtsfragen ken- nen (Emmel, in: Sutter-Somm/Hasen-böhler/Leuenberger [Hrsg.], Kommen- tar zur Schweizerischen Zivilprozessordnung, 2. Aufl., Zürich/Basel/Genf 2013, Art. 118 N 10). Auch mit Blick auf die Festsetzung der Unterhaltsbei- träge erschöpfte sich das Verfahren nicht bloss in der Auswertung der be- kannten Parameter (Einkommen und Bedarf der Parteien), sondern es stand die Anrechnung eines hypothetischen Einkommens auf Seiten des Beklag- ten im Raum. Dass der Klägerin der Begriff des hypothetischen Einkom- mens fremd ist, ist dabei ebenso offensichtlich, wie dass sie als juristische Lain nicht in der Lage war, die für die Beurteilung der Unterhaltsbeiträge re- levanten Tatsachenbehauptungen, namentlich im Hinblick auf die Frage ei- nes hypothetischen Einkommens des Beklagten, aufzustellen. Alles in allem präsentierte sich das vorliegende Eheschutzverfahren damit nicht als einfa- ches, keinerlei besondere Schwierigkeiten bereitendes Verfahren, welches von der Klägerin ohne juristische Kenntnissen alleine hätte bewältigt werden können. Die vom Gericht bereit gestellten Checklisten waren nicht geeignet, hinsichtlich dieser Schwierigkeiten Abhilfe zu schaffen, zumal diese - wie die Vorinstanz selber ausführt (Urk. 25 S. 7 f.) - lediglich dazu dienen, die not- wendigen Belege für die Festsetzung der Unterhaltspflicht zusammenzutra- gen. Mit Bezug auf die umstrittene Ausgestaltung des Besuchsrechts sowie die Errichtung einer Beistandschaft bieten die Checklisten aber genauso wenig Hilfestellung wie für die Frage nach der Anrechnung eines hypotheti- schen Einkommens.</w:t>
      </w:r>
    </w:p>
    <w:p>
      <w:r>
        <w:t>- 6 -</w:t>
      </w:r>
    </w:p>
    <w:p>
      <w:r>
        <w:rPr>
          <w:b/>
        </w:rPr>
        <w:t>E. 5</w:t>
      </w:r>
    </w:p>
    <w:p>
      <w:r>
        <w:t>Gesamthaft ist festzuhalten, dass dem vorliegenden Eheschutzverfahren ein vielschichtiger Sachverhalt zu Grunde lag, welcher zu rechtlich komplexen Fragestellungen führte. Das Verfahren wies für die Parteien - insbesondere aufgrund der umstrittenen Kinderbelange - eine grosse Bedeutung auf. Die Klägerin verfügt über keine juristischen Kenntnisse und ist gemäss eigenen Angaben psychisch angeschlagen (vgl. Urk. 12 S. 21 f.; obwohl die psychi- sche Labilität der Klägerin bereits vor Vorinstanz vorgebracht und zum Be- weis verstellt wurde, wurde die Klägerin weder dazu befragt, noch entspre- chende Auskünfte beim behandelnden Psychiater, Dr. med. C._____, ein- geholt). Unter diesen Umständen war die Klägerin zur Wahrung ihrer Rechte im vorliegenden Eheschutzverfahren auf eine Rechtsvertretung angewiesen. Jede vernünftige Drittperson mit ausreichenden finanziellen Mitteln hätte in der gleichen Situation einen Rechtsvertreter beauftragt. Das klägerische Gesuch um unentgeltliche Rechtsverbeiständung für das erstinstanzliche Verfahren ist vor diesem Hintergrund gutzuheissen. C.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