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RE140011 vom 4. Juni 2014</w:t>
      </w:r>
    </w:p>
    <w:p>
      <w:r>
        <w:t>ZH Obergericht, 2014-06-04, DE</w:t>
      </w:r>
    </w:p>
    <w:p>
      <w:r>
        <w:rPr>
          <w:b/>
        </w:rPr>
        <w:t xml:space="preserve">Quelle: </w:t>
      </w:r>
      <w:r>
        <w:t>https://mcp.opencaselaw.ch/entscheid/zh_obergericht_RE140011</w:t>
      </w:r>
    </w:p>
    <w:p>
      <w:r>
        <w:t>FR: ZH_OBERGERICHT RE140011 du 4 juin 2014</w:t>
      </w:r>
    </w:p>
    <w:p>
      <w:r>
        <w:t>IT: ZH_OBERGERICHT RE140011 del 4 giugno 2014</w:t>
      </w:r>
    </w:p>
    <w:p>
      <w:pPr>
        <w:pStyle w:val="Heading2"/>
      </w:pPr>
      <w:r>
        <w:t>Erwägungen</w:t>
      </w:r>
    </w:p>
    <w:p>
      <w:r>
        <w:rPr>
          <w:b/>
        </w:rPr>
        <w:t>E. 1</w:t>
      </w:r>
    </w:p>
    <w:p>
      <w:r>
        <w:t>a) Mit Verfügung vom 23. April 2014 schrieb das Bezirksgericht Zü- rich (Vorinstanz) das vom Gesuchsteller am 18. Februar 2014 eingeleitete Ehe- schutzverfahren als durch Rückzug erledigt ab, auferlegte die Gerichtskosten von total Fr. 875.-- dem Gesuchsteller und verpflichtete diesen, der Gesuchsgegnerin eine Parteientschädigung von Fr. 2'451.60 zu bezahlen (Urk. 2). b) Am 16. Mai 2014 schrieb der Gesuchsteller der Kammer, er habe leider feststellen müssen, dass die Kosten ihm auferlegt worden seien. Da er aber in fi- nanziellen Schwierigkeiten stecke, möchte er höflich bitten, dass der Staat die Kosten übernehme. Im Falle eines negativen Entscheids könne er frühestens An- fang des nächsten Jahres mit Zahlungen beginnen. Ausserdem habe die Anwältin der Gesuchsgegnerin Fr. 600.-- von der Beratungs- und Informationsstelle für Frauen erhalten (Urk. 1). c) Da die Kammer die von der Vorinstanz angegebene (Urk. 2 Dispositiv Ziffer 6), für die Behandlung einer Beschwerde zuständige Instanz ist und sich der Gesuchsteller teilweise auch inhaltlich gegen die vorinstanzliche Kostenregelung wandte (die Rechtsvertreterin der Gesuchsgegnerin sei teilweise bereits von Drit- ten bezahlt worden), war die Eingabe des Gesuchstellers als Beschwerde entge- genzunehmen. Da sich die Eingabe jedoch inhaltlich hauptsächlich als Stun- dungs- bzw. Ratenzahlungsgesuch präsentierte, wurde dem Gesuchsteller mit Schreiben vom 19. Mai 2014 Gelegenheit gegeben, auf die Durchführung des Be- schwerdeverfahrens zu verzichten und das Schreiben an die Gerichtskasse wei- terzuleiten (Urk. 4). Der Gesuchsteller hat von dieser Möglichkeit mit Eingabe vom 24. Mai 2014 fristgerecht Gebrauch gemacht (Urk. 5). d) Formell ist die Eingabe des Gesuchstellers vom 24. Mai 2014 (Urk. 5) als Rückzug der Beschwerde anzusehen. Das Beschwerdeverfahren ist dement- sprechend abzuschreiben (Art. 241 Abs. 3 ZPO).</w:t>
      </w:r>
    </w:p>
    <w:p>
      <w:r>
        <w:rPr>
          <w:b/>
        </w:rPr>
        <w:t>E. 2</w:t>
      </w:r>
    </w:p>
    <w:p>
      <w:r>
        <w:t>Umständehalber ist für das Beschwerdeverfahren auf die Erhebung von Kosten zu verzichten. Mangels erheblicher Umtriebe ist der Gesuchsgegnerin für das Beschwerdeverfahren keine Parteientschädigung zuzusprechen.</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