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RE140010 vom 20. Mai 2014</w:t>
      </w:r>
    </w:p>
    <w:p>
      <w:r>
        <w:t>ZH Obergericht, 2014-05-20, DE</w:t>
      </w:r>
    </w:p>
    <w:p>
      <w:r>
        <w:rPr>
          <w:b/>
        </w:rPr>
        <w:t xml:space="preserve">Quelle: </w:t>
      </w:r>
      <w:r>
        <w:t>https://mcp.opencaselaw.ch/entscheid/zh_obergericht_RE140010</w:t>
      </w:r>
    </w:p>
    <w:p>
      <w:r>
        <w:t>FR: ZH_OBERGERICHT RE140010 du 20 mai 2014</w:t>
      </w:r>
    </w:p>
    <w:p>
      <w:r>
        <w:t>IT: ZH_OBERGERICHT RE140010 del 20 maggio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in der Hauptsache umgehend zu entscheiden und die ge- stellten Rechtsbegehren zu beurteilen.</w:t>
      </w:r>
    </w:p>
    <w:p>
      <w:r>
        <w:rPr>
          <w:b/>
        </w:rPr>
        <w:t>E. 3</w:t>
      </w:r>
    </w:p>
    <w:p>
      <w:r>
        <w:t>Alles unter Kosten- und Entschädigungsfolgen (zzgl. MwSt) zulas- ten der Beschwerdegegnerin. Verfahrensmässiger Antrag: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