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RE140009 vom 26. Mai 2014</w:t>
      </w:r>
    </w:p>
    <w:p>
      <w:r>
        <w:t>ZH Obergericht, 2014-05-26, DE</w:t>
      </w:r>
    </w:p>
    <w:p>
      <w:r>
        <w:rPr>
          <w:b/>
        </w:rPr>
        <w:t xml:space="preserve">Quelle: </w:t>
      </w:r>
      <w:r>
        <w:t>https://mcp.opencaselaw.ch/entscheid/zh_obergericht_RE140009</w:t>
      </w:r>
    </w:p>
    <w:p>
      <w:r>
        <w:t>FR: ZH_OBERGERICHT RE140009 du 26 mai 2014</w:t>
      </w:r>
    </w:p>
    <w:p>
      <w:r>
        <w:t>IT: ZH_OBERGERICHT RE140009 del 26 maggio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Klägerin und Beschwerdeführerin (fortan: Klägerin) beantragte mit Eingabe vom 19. November 2013 bei der Vorinstanz die Abänderung von Ehe- schutzmassnahmen und stellte ein Gesuch um unentgeltliche Rechtspflege (Urk. 5/1). Für den Verlauf des erstinstanzlichen Verfahrens kann auf die Ausfüh- rungen im Entscheid der Vorinstanz verwiesen werden (Urk. 2 S. 3 f.). Mit Ent- scheiden vom 7. März 2014 wies die Vorinstanz sowohl das Gesuch der Klägerin um unentgeltliche Rechtspflege als auch die Begehren der Klägerin auf Abände- rung des Eheschutzentscheides des Einzelgerichts des Bezirksgerichts Bülach vom 23. April 2013 ab (Urk. 2, je Dispositiv-Ziffer 1 der Verfügung sowie des Er- kenntnisses).</w:t>
      </w:r>
    </w:p>
    <w:p>
      <w:r>
        <w:rPr>
          <w:b/>
        </w:rPr>
        <w:t>E. 2</w:t>
      </w:r>
    </w:p>
    <w:p>
      <w:r>
        <w:t>Gegen die Verweigerung der unentgeltlichen Rechtspflege erhob die Klägerin mit Eingabe vom 27. März 2014 innert Frist Beschwerde mit folgenden Anträgen (Urk. 1 S. 2): "1. In Aufhebung von Dispositiv Ziff. 1 der Verfügung des Einzelge- richts im summarischen Verfahren am Bezirksgericht Bülach vom</w:t>
      </w:r>
    </w:p>
    <w:p>
      <w:r>
        <w:rPr>
          <w:b/>
        </w:rPr>
        <w:t>E. 7</w:t>
      </w:r>
    </w:p>
    <w:p>
      <w:r>
        <w:t>Zusammenfassend ist damit festzuhalten, dass die Vorinstanz das Ge- such der Klägerin um unentgeltliche Rechtspflege zu Recht abwies. Die Be- schwerde der Klägerin ist damit abzuweisen. III.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