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RE130019 vom 20. Januar 2014</w:t>
      </w:r>
    </w:p>
    <w:p>
      <w:r>
        <w:t>ZH Obergericht, 2014-01-20, DE</w:t>
      </w:r>
    </w:p>
    <w:p>
      <w:r>
        <w:rPr>
          <w:b/>
        </w:rPr>
        <w:t xml:space="preserve">Quelle: </w:t>
      </w:r>
      <w:r>
        <w:t>https://mcp.opencaselaw.ch/entscheid/zh_obergericht_RE130019</w:t>
      </w:r>
    </w:p>
    <w:p>
      <w:r>
        <w:t>FR: ZH_OBERGERICHT RE130019 du 20 janvier 2014</w:t>
      </w:r>
    </w:p>
    <w:p>
      <w:r>
        <w:t>IT: ZH_OBERGERICHT RE130019 del 20 gennaio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und S. 2). Die Vorinstanz fällte am 9. Juli 2013 ihren Endentscheid. Sie verfügte zunächst wie folgt (Urk. 140 S. 20): " 1. Der Antrag des Klägers, die Beklagte zur Leistung eines Prozesskos- tenvorschusses zu verpflichten, wird als zufolge Gegenstandslosigkeit erledigt abgeschrieben.</w:t>
      </w:r>
    </w:p>
    <w:p>
      <w:r>
        <w:rPr>
          <w:b/>
        </w:rPr>
        <w:t>E. 2</w:t>
      </w:r>
    </w:p>
    <w:p>
      <w:r>
        <w:t>Das Gesuch des Klägers um Gewährung unentgeltlicher Prozessfüh- rung wird als zufolge Gegenstandslosigkeit erledigt abgeschrieben.</w:t>
      </w:r>
    </w:p>
    <w:p>
      <w:r>
        <w:rPr>
          <w:b/>
        </w:rPr>
        <w:t>E. 3</w:t>
      </w:r>
    </w:p>
    <w:p>
      <w:r>
        <w:t>Schriftliche Mitteilung an die Parteien mit nachfolgendem Erkenntnis." Danach erkannte die Vorinstanz wie folgt (Urk. 140 S. 20 f.): " 1. Ziffer 2 der gerichtlichen Trennungsvereinbarung vom 2. Oktober 2012 wird mit Wirkung ab 1. März 2013 aufgehoben und durch folgende Fas- sung ersetzt: Der Kläger wird verpflichtet, der Beklagten für sich persönlich Unter- haltsbeiträge in der Höhe von Fr. 580.– zu bezahlen; zahlbar monatlich im Voraus, jeweils auf den Ersten eines jeden Monats, rückwirkend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