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RB250032 vom 8. Dezember 2025</w:t>
      </w:r>
    </w:p>
    <w:p>
      <w:r>
        <w:t>ZH Obergericht, 2025-12-08, DE</w:t>
      </w:r>
    </w:p>
    <w:p>
      <w:r>
        <w:rPr>
          <w:b/>
        </w:rPr>
        <w:t xml:space="preserve">Quelle: </w:t>
      </w:r>
      <w:r>
        <w:t>https://mcp.opencaselaw.ch/entscheid/zh_obergericht_RB250032</w:t>
      </w:r>
    </w:p>
    <w:p>
      <w:r>
        <w:t>FR: ZH_OBERGERICHT RB250032 du 8 décembre 2025</w:t>
      </w:r>
    </w:p>
    <w:p>
      <w:r>
        <w:t>IT: ZH_OBERGERICHT RB250032 del 8 dicembre 2025</w:t>
      </w:r>
    </w:p>
    <w:p>
      <w:pPr>
        <w:pStyle w:val="Heading2"/>
      </w:pPr>
      <w:r>
        <w:t>Erwägungen</w:t>
      </w:r>
    </w:p>
    <w:p>
      <w:r>
        <w:rPr>
          <w:b/>
        </w:rPr>
        <w:t>E. 2</w:t>
      </w:r>
    </w:p>
    <w:p>
      <w:r>
        <w:t>Auf das von einer Partei ergriffene Rechtsmittel kann nur dann eingetreten werden, wenn die Partei durch den angefochtenen Entscheid formell oder zumin- dest materiell beschwert ist (vgl. ZK ZPO-Reetz, 4. Aufl. 2025, Vorbem. zu den Art. 308-318 N 29 f. m.w.H.). Mit dem Beschluss vom 18. November 2025 setzte die Vorinstanz der Beschwerdegegnerin Frist zur Leistung eines Kostenvorschus- ses an. Es wurden keine Anordnungen getroffen, welche sich an den Beschwer- deführer richten. Die Rechtsstellung des Beschwerdeführers wird durch die Verfü- gung der Vorinstanz nicht tangiert. Es ist daher weder ersichtlich noch hat der Be- schwerdeführer dargelegt, inwiefern er ein schutzwürdiges Interesse an der An- fechtung der Verfügung haben könnte. Er setzt sich vielmehr inhaltlich mit der Klage der Beschwerdegegnerin auseinander. Über die Begründetheit der Klage wurde aber mit dem Beschluss vom 18. November 2025 nicht entschieden. Der</w:t>
      </w:r>
    </w:p>
    <w:p>
      <w:r>
        <w:t>- 3 - Beschwerdeführer wird im Verfahren vor der Vorinstanz Gelegenheit erhalten, zu den von der Beschwerdegegnerin gestellten Anträgen Stellung zu nehmen. Auf die Beschwerde ist mangels Beschwer nicht einzutreten.</w:t>
      </w:r>
    </w:p>
    <w:p>
      <w:r>
        <w:rPr>
          <w:b/>
        </w:rPr>
        <w:t>E. 3</w:t>
      </w:r>
    </w:p>
    <w:p>
      <w:r>
        <w:t>Ausgangsgemäss sind die Kosten des Beschwerdeverfahrens dem Be- schwerdeführer aufzuerlegen (Art. 106 Abs. 1 ZPO). Der Streitwert für das Haupt- verfahren beläuft sich auf Fr. 83'706.00 (act. 5/2 S. 2 und act. 4 S. 2). In Anwen- dung der § 12 Abs. 1 und 2 sowie § 4 Abs. 1 und 2 GebV OG und unter Berück- sichtigung des geringen Zeitaufwandes und der geringen Schwierigkeit des Falles sowie des Umstandes, dass Gegenstand des Beschwerdeverfahrens ein prozess- leitender Entscheid ist, ist die zweitinstanzliche Entscheidgebühr auf Fr. 500.00 festzusetzen. Für das Beschwerdeverfahren sind keine Parteientschädigungen zuzusprechen: Dem Beschwerdeführer nicht, weil er unterliegt, der Beschwerde- gegnerin nicht, weil ihr keine zu entschädigenden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