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RB250004 vom 14. Mai 2025</w:t>
      </w:r>
    </w:p>
    <w:p>
      <w:r>
        <w:t>ZH Obergericht, 2025-05-14, DE</w:t>
      </w:r>
    </w:p>
    <w:p>
      <w:r>
        <w:rPr>
          <w:b/>
        </w:rPr>
        <w:t xml:space="preserve">Quelle: </w:t>
      </w:r>
      <w:r>
        <w:t>https://mcp.opencaselaw.ch/entscheid/zh_obergericht_RB250004</w:t>
      </w:r>
    </w:p>
    <w:p>
      <w:r>
        <w:t>FR: ZH_OBERGERICHT RB250004 du 14 mai 2025</w:t>
      </w:r>
    </w:p>
    <w:p>
      <w:r>
        <w:t>IT: ZH_OBERGERICHT RB250004 del 14 maggio 2025</w:t>
      </w:r>
    </w:p>
    <w:p>
      <w:pPr>
        <w:pStyle w:val="Heading2"/>
      </w:pPr>
      <w:r>
        <w:t>Erwägungen</w:t>
      </w:r>
    </w:p>
    <w:p>
      <w:r>
        <w:rPr>
          <w:b/>
        </w:rPr>
        <w:t>E. 2</w:t>
      </w:r>
    </w:p>
    <w:p>
      <w:r>
        <w:t>Die Vorinstanz sei gerichtlich anzuweisen, CG230079 zu sistiern bis RB250002 rechtskräftig entschieden ist."</w:t>
      </w:r>
    </w:p>
    <w:p>
      <w:r>
        <w:t>- 3 - Der mit Verfügung vom 31. Januar 2025 einverlangte Vorschuss für die Gerichts- kosten in der Höhe von Fr. 500.– (Urk. 6) wurde innert Nachfrist geleistet (Urk. 8; Urk. 9). 1.3. Die vorinstanzlichen Akten wurden beigezogen (Urk. 5/1–51; Urk. 7/52–55). Da sich die Beschwerde – wie nachfolgend aufgezeigt wird – sogleich als offen- sichtlich unzulässig erweist, kann auf das Einholen einer Beschwerdeantwort ver- zichtet werden (vgl. Art. 322 Abs. 1 ZPO). Das Verfahren ist spruchreif.</w:t>
      </w:r>
    </w:p>
    <w:p>
      <w:r>
        <w:rPr>
          <w:b/>
        </w:rPr>
        <w:t>E. 2.1</w:t>
      </w:r>
    </w:p>
    <w:p>
      <w:r>
        <w:t>Die Klägerin macht mit ihrer Beschwerde zusammengefasst geltend, dass der vorinstanzliche Entscheid nichtig sei, da die Parteibezeichnung des Beklagten feh- lerhaft sei und keine gültige Vollmacht vorliege. Zudem habe es überhaupt kein Sistierungsgesuch gebraucht, da sie gegen die Verfügung vom 13. Januar 2025 Beschwerde bei der Kammer erhoben habe und das Verfahren damit implizit sistiert werde. Werde jedoch wie vorliegend ein Sistierungsgesuch gestellt, müsste dieses gutgeheissen werden. Die Vorinstanz sei daher anzuweisen, das Verfahren zu sis- tieren (Urk. 1 S. 1–4).</w:t>
      </w:r>
    </w:p>
    <w:p>
      <w:r>
        <w:rPr>
          <w:b/>
        </w:rPr>
        <w:t>E. 2.2</w:t>
      </w:r>
    </w:p>
    <w:p>
      <w:r>
        <w:t>Betreffend die Parteibezeichnung rügt die Klägerin, dass "C._____ Rechtsna- wälte, D._____-strasse 1, … Zürich" keine Geschäftsadresse sei, da "C._____ Rechtsanwälte" keine juristische Person und nicht im Handelsregister eingetragen sei. Zudem sei kein Beweis eingereicht worden, dass der Beklagte Rechtsanwalt X._____ bevollmächtigt habe. Spätestens seit dem 19. Dezember 2024 vertrete dieser den Beklagten definitiv nicht mehr. Der Beklagte selbst wohne ferner nicht mehr an der E._____-strasse 2 in … Zürich (Urk. 1 S. 1–3). Letzteres ist zutreffend (siehe dazu Verfügung vom 26. Februar 2025, Urk. 6). Dies führt entgegen der Ansicht der Klägerin jedoch nicht zur Nichtigkeit der angefoch- tenen Verfügung, da der Beklagte mit seinem Geburtsdatum und Heimatort immer noch zweifelsfrei identifiziert werden kann. Auch bestehen keine Zweifel, dass der Beklagte Rechtsanwalt X._____ mit seiner Interessenswahrung im vorliegenden Verfahren beauftragt hat (Urk. 5/18). Auf ihre haltlose, pauschale Behauptung, der Beklagte sei zu 100% urteilsunfähig aufgrund von Altersschwäche und diversen psychischen Störungen (Urk. 1 S. 3) ist nicht weiter einzugehen. Es liegen keine</w:t>
      </w:r>
    </w:p>
    <w:p>
      <w:r>
        <w:t>- 4 - Gründe für die Annahme der Ungültigkeit der Vollmacht vor. Des Weiteren ist auch aufgrund der E-Mail von F._____ an das Friedensrichteramt … + … (Urk. 4/2) – entgegen der Auffassung der Klägerin (Urk. 1 S. 1) – nicht davon auszugehen ist, dass der Beklagte im vorliegenden Verfahren nicht mehr von Rechtsanwalt X._____ vertreten werde, da sich diese nicht auf das Vertretungsverhältnis zwi- schen dem Beklagten und Rechtsanwalt X._____ in der vorliegenden Sache be- zieht. Zuletzt irrt die Klägerin auch, wenn sie annimmt, dass auch die Rechtsvertre- ter von Parteien mit ihrer Wohnadresse, ihrem Heimatort und ihrer Staatsangehö- rigkeit im Rubrum aufgeführt werden müssten (Urk. 1 S. 2); es genügen Name und Kanzleiadresse. Da Anwaltskanzleien zudem unterschiedlich organisiert sein kön- nen, ist ein Handelsregistereintrag nicht zwingend. Damit liegt kein Nichtigkeits- grund vor.</w:t>
      </w:r>
    </w:p>
    <w:p>
      <w:r>
        <w:rPr>
          <w:b/>
        </w:rPr>
        <w:t>E. 2.3</w:t>
      </w:r>
    </w:p>
    <w:p>
      <w:r>
        <w:t>Der Beschluss der Vorinstanz vom 27. Januar 2025 ist prozessleitender Na- tur. Gegen prozessleitende Entscheide ist die Beschwerde – mit Ausnahme von hier mit Bezug auf die Klägerin nicht einschlägigen, im Gesetz explizit vorgesehe- nen Fällen (Art. 319 lit. b Ziff. 1 ZPO) – nur zulässig, wenn durch sie der beschwer- deführenden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 zumachenden Nachteils grundsätzlich Zurückhaltung angebracht. Der Gesetzge- ber hat die selbstständige Anfechtung gewöhnlicher prozessleitender Entscheide absichtlich erschwert, denn der Gang des Prozesses sollte nicht unnötig verzögert werden (Botschaft ZPO, BBl 2006, 7221 ff., 7377). In der Literatur wird unter Ver- weis auf die Botschaft die Auffassung vertreten, dass bei Vorladungen (Art. 133/134 ZPO), Terminverschiebungen (Art. 135 ZPO), Fristansetzungen und -erstreckungen (Art. 144 ZPO) oder Beweisanordnungen (Art. 231 ZPO) ein nicht leicht wiedergutzumachender Nachteil kaum je in Betracht fallen könne (BK ZPO- Sterchi, Art. 319 N 14; DIKE-Komm ZPO-Blickenstorfer, Art. 319 N 42). Die ent- sprechenden prozessleitenden Entscheide können somit erst im Rahmen des Hauptrechtsmittels gegen den Endentscheid beanstandet werden. Die betroffene Partei muss einen nicht leicht wiedergutzumachenden Nachteil dartun, d.h. sie ist</w:t>
      </w:r>
    </w:p>
    <w:p>
      <w:r>
        <w:t>- 5 - beweispflichtig, sofern die Gefahr nicht von vornherein offenkundig ist (BK ZPO-Sterchi, Art. 319 N 15). Fehlt die Rechtsmittelvoraussetzung des drohenden, nicht leicht wiedergutzumachenden Nachteils, so ist auf die Beschwerde nicht ein- zutreten. Die Klägerin legt in ihrer Beschwerde nicht dar, inwiefern ihr durch den angefoch- tenen Entscheid ein nicht leicht wiedergutzumachender Nachteil droht, und ein sol- cher ist auch nicht ersichtlich. Auf die Beschwerde der Klägerin gegen den Be- schluss vom 27. Januar 2025 ist daher nicht einzutreten.</w:t>
      </w:r>
    </w:p>
    <w:p>
      <w:r>
        <w:rPr>
          <w:b/>
        </w:rPr>
        <w:t>E. 3</w:t>
      </w:r>
    </w:p>
    <w:p>
      <w:r>
        <w:t>Die Entscheidgebühr für das Beschwerdeverfahren ist in Anwendung von § 12 Abs. 1 in Verbindung mit § 9 Abs. 1 GebV OG auf Fr. 500.– festzusetzen und aus- gangsgemäss der unterliegenden Klägerin aufzuerlegen (Art. 106 Abs. 1 ZPO). Die Kosten sind mit dem von der Klägerin geleisteten Vorschuss von Fr. 500.– (Urk. 9) zu verrechnen (Art. 111 Abs. 1 ZPO). Parteientschädigungen sind im Beschwerde- verfahren keine zuzusprechen, der Klägerin infolge ihres Unterliegens, dem Be- klagten mangels relevanter Umtriebe (vgl.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