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RB240037 vom 6. Dezember 2024</w:t>
      </w:r>
    </w:p>
    <w:p>
      <w:r>
        <w:t>ZH Obergericht, 2024-12-06, DE</w:t>
      </w:r>
    </w:p>
    <w:p>
      <w:r>
        <w:rPr>
          <w:b/>
        </w:rPr>
        <w:t xml:space="preserve">Quelle: </w:t>
      </w:r>
      <w:r>
        <w:t>https://mcp.opencaselaw.ch/entscheid/zh_obergericht_RB240037</w:t>
      </w:r>
    </w:p>
    <w:p>
      <w:r>
        <w:t>FR: ZH_OBERGERICHT RB240037 du 6 décembre 2024</w:t>
      </w:r>
    </w:p>
    <w:p>
      <w:r>
        <w:t>IT: ZH_OBERGERICHT RB240037 del 6 dicembre 2024</w:t>
      </w:r>
    </w:p>
    <w:p>
      <w:pPr>
        <w:pStyle w:val="Heading2"/>
      </w:pPr>
      <w:r>
        <w:t>Erwägungen</w:t>
      </w:r>
    </w:p>
    <w:p>
      <w:r>
        <w:rPr>
          <w:b/>
        </w:rPr>
        <w:t>E. 2</w:t>
      </w:r>
    </w:p>
    <w:p>
      <w:r>
        <w:t>Die Bestätigung des Eigentums an den C._____-Uhren durch A._____, basierend auf den Rechnungen und Garantiezertifikaten.</w:t>
      </w:r>
    </w:p>
    <w:p>
      <w:r>
        <w:rPr>
          <w:b/>
        </w:rPr>
        <w:t>E. 2.1</w:t>
      </w:r>
    </w:p>
    <w:p>
      <w:r>
        <w:t>Die angefochtene Verfügung wurde der Klägerin am 28. September 2024 zu- gestellt (Urk. 4/89/2). Sie ist prozessleitender Natur, weshalb die Frist zur Erhebung einer Beschwerde zehn Tage beträgt (Art. 321 Abs. 2 ZPO). Die Rechtsmittelfrist lief der Klägerin demzufolge am 8. Oktober 2024 ab (Art. 142 Abs. 1 und Abs. 3 ZPO). Vorliegend wurde die Beschwerde erst am 18. November 2024 und damit nach Ablauf der Beschwerdefrist der Post übergeben (Urk. 1) und erfolgte somit verspätet. Bereits aus diesem Grund ist auf die Beschwerde nicht einzutreten.</w:t>
      </w:r>
    </w:p>
    <w:p>
      <w:r>
        <w:rPr>
          <w:b/>
        </w:rPr>
        <w:t>E. 2.2</w:t>
      </w:r>
    </w:p>
    <w:p>
      <w:r>
        <w:t>Abgesehen davon ist eine Beschwerde gegen eine prozessleitende Verfü- gung wie der vorliegenden Fristansetzung zur Einreichung einer Stellungnahme zum Kautionsantrag des Beklagten – mit Ausnahme von hier mit Bezug auf die Klägerin nicht einschlägigen, im Gesetz explizit vorgesehenen Fällen (Art. 319 lit. b Ziff. 1 ZPO) – nur zulässig, wenn durch sie der beschwerdeführenden Partei ein nicht leicht wiedergutzumachender Nachteil droht (Art. 319 lit. b Ziff. 2 ZPO). Ein solcher Nachteil ist ohne Weiteres anzunehmen, wenn er auch durch einen für den Ansprecher günstigen Endentscheid nicht mehr beseitigt werden kann. Indes ist bei der Annahme eines drohenden, nicht leicht wiedergutzumachenden Nachteils grundsätzlich Zurückhaltung angebracht. Der Gesetzgeber hat die selbstständige Anfechtung gewöhnlicher prozessleitender Entscheide absichtlich erschwert, denn der Gang des Prozesses sollte nicht unnötig verzögert werden (Botschaft ZPO, BBl 2006, 7221 ff., 7377). In der Literatur wird unter Verweis auf die Botschaft die Auf- fassung vertreten, dass bei Vorladungen (Art. 133/134 ZPO), Terminverschiebun- gen (Art. 135 ZPO), Fristansetzungen und -erstreckungen (Art. 144 ZPO) oder Be- weisanordnungen (Art. 231 ZPO) ein nicht leicht wiedergutzumachender Nachteil</w:t>
      </w:r>
    </w:p>
    <w:p>
      <w:r>
        <w:t>- 4 - kaum je in Betracht fallen könne (BK ZPO-Sterchi, Art. 319 N 14; DIKE-Komm ZPO- Blickenstorfer, Art. 319 N 42). Die entsprechenden prozessleitenden Verfügungen können somit erst im Rahmen des Hauptrechtsmittels gegen den Endentscheid be- anstandet werden. Die betroffene Partei muss einen nicht leicht wiedergutzuma- chenden Nachteil dartun, d.h. sie ist beweispflichtig, sofern die Gefahr nicht von vornherein offenkundig ist (BK ZPO-Sterchi, Art. 319 N 15). Fehlt die Rechtsmittel- voraussetzung des drohenden, nicht leicht wiedergutzumachenden Nachteils, so ist auf die Beschwerde nicht einzutreten. Vorliegend legt die Klägerin mit keinem Wort dar, inwiefern ihr durch den angefoch- tenen Entscheid ein nicht leicht wiedergutzumachender Nachteil droht, und ein sol- cher ist auch nicht ersichtlich. Auf die Beschwerde der Klägerin gegen die Verfü- gung vom 26. September 2024 ist daher auch mangels eines nicht leicht wieder- gutzumachenden Nachteils nicht einzutreten. 3. Die Entscheidgebühr für das Beschwerdeverfahren ist in Anwendung von § 4 Abs. 1 und Abs. 2, § 9 Abs. 1 sowie § 12 Abs. 1 und Abs. 2 GebV OG auf Fr. 150.– festzusetzen und ausgangsgemäss der unterliegenden Klägerin aufzuerlegen (Art. 106 Abs. 1 ZPO). Parteientschädigungen sind im Beschwerdeverfahren keine zuzusprechen, der Klägerin infolge ihres Unterliegens, dem Beklagten mangels re- levanter Umtriebe (vgl. Art. 106 Abs. 1 und Art. 95 Abs. 3 ZPO) Es wird beschlossen:</w:t>
      </w:r>
    </w:p>
    <w:p>
      <w:r>
        <w:rPr>
          <w:b/>
        </w:rPr>
        <w:t>E. 3</w:t>
      </w:r>
    </w:p>
    <w:p>
      <w:r>
        <w:t>Die Anpassung des Streitwerts auf CHF 3'424'900, was den Ge- samtumfang des Rechtsstreits widerspiegelt.</w:t>
      </w:r>
    </w:p>
    <w:p>
      <w:r>
        <w:rPr>
          <w:b/>
        </w:rPr>
        <w:t>E. 4</w:t>
      </w:r>
    </w:p>
    <w:p>
      <w:r>
        <w:t>Die Reduktion der Gerichtskosten auf einen verhältnismässigen und gerechtfertigten Betrag.</w:t>
      </w:r>
    </w:p>
    <w:p>
      <w:r>
        <w:rPr>
          <w:b/>
        </w:rPr>
        <w:t>E. 5</w:t>
      </w:r>
    </w:p>
    <w:p>
      <w:r>
        <w:t>Die Pfändung der Anteile von B._____ an der D._____ AG gemäss Artikel 260 und 261 ZPO.</w:t>
      </w:r>
    </w:p>
    <w:p>
      <w:r>
        <w:rPr>
          <w:b/>
        </w:rPr>
        <w:t>E. 6</w:t>
      </w:r>
    </w:p>
    <w:p>
      <w:r>
        <w:t>Die ausschliessliche Verwendung der französischen Sprache für A._____ in der gesamten Korrespondenz in Anwendung der Artikel 54 BGG, 58 Abs. 2 BV und der Rechtsprechung BGE 145 I 297. Für weitere Abklärungen stehen wir gerne zur Verfügung.</w:t>
      </w:r>
    </w:p>
    <w:p>
      <w:r>
        <w:t>- 3 - Oder den Streitfall einem Kanton wie Freiburg oder Genf unterbrei- ten." Für die Berufung und die Beschwerde gegen den Beschluss vom 13. November 2024 wurden zwei separate Verfahren angelegt (LB240060-O und RB240038-O). 1.3. Die vorinstanzlichen Akten wurden beigezogen (Urk. 4/1–105). Da sich die Beschwerde gegen die Verfügung vom 26. September 2024 – wie nachfolgend auf- zuzeigen sein wird – sogleich als offensichtlich unzulässig erweist, kann auf weitere Prozesshandlungen verzichtet werden (Art. 322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