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RB240010 vom 1. März 2024</w:t>
      </w:r>
    </w:p>
    <w:p>
      <w:r>
        <w:t>ZH Obergericht, 2024-03-01, DE</w:t>
      </w:r>
    </w:p>
    <w:p>
      <w:r>
        <w:rPr>
          <w:b/>
        </w:rPr>
        <w:t xml:space="preserve">Quelle: </w:t>
      </w:r>
      <w:r>
        <w:t>https://mcp.opencaselaw.ch/entscheid/zh_obergericht_RB240010</w:t>
      </w:r>
    </w:p>
    <w:p>
      <w:r>
        <w:t>FR: ZH_OBERGERICHT RB240010 du 1 mars 2024</w:t>
      </w:r>
    </w:p>
    <w:p>
      <w:r>
        <w:t>IT: ZH_OBERGERICHT RB240010 del 1 marzo 2024</w:t>
      </w:r>
    </w:p>
    <w:p>
      <w:pPr>
        <w:pStyle w:val="Heading2"/>
      </w:pPr>
      <w:r>
        <w:t>Erwägungen</w:t>
      </w:r>
    </w:p>
    <w:p>
      <w:r>
        <w:rPr>
          <w:b/>
        </w:rPr>
        <w:t>E. 2</w:t>
      </w:r>
    </w:p>
    <w:p>
      <w:r>
        <w:t>(Schriftliche Mitteilung)</w:t>
      </w:r>
    </w:p>
    <w:p>
      <w:r>
        <w:rPr>
          <w:b/>
        </w:rPr>
        <w:t>E. 2.1</w:t>
      </w:r>
    </w:p>
    <w:p>
      <w:r>
        <w:t>Das Gericht prüft von Amtes wegen, ob die Prozessvoraussetzungen erfüllt sind (Art. 60 ZPO i.V.m. Art. 59 ZPO). Dazu gehören unter anderem die Fragen, ob ein gültiges Anfechtungsobjekt vorliegt, die beschwerdeführende Partei zur Erhe- bung derselben legitimiert ist und ein Rechtsschutzinteresse besteht.</w:t>
      </w:r>
    </w:p>
    <w:p>
      <w:r>
        <w:rPr>
          <w:b/>
        </w:rPr>
        <w:t>E. 2.2</w:t>
      </w:r>
    </w:p>
    <w:p>
      <w:r>
        <w:t>Der Beklagte 1 wendet sich in seiner Beschwerdeschrift gegen die an die un- entgeltliche Rechtsvertreterin der Klägerin ausgerichtete Akontozahlung von Fr. 22'942.– zzgl. MwSt. und macht geltend, dass das Verfahren noch länger an- dauern und weitere Kosten verursachen könne. Da diese schlussendlich die Erb- masse schmälerten, sei er genauso betroffen wie die Klägerin. Demnach müsse auch ihm zugestanden werden, zu den fragwürdigen Forderungen Stellung zu neh- men (Urk. 1 S. 3).</w:t>
      </w:r>
    </w:p>
    <w:p>
      <w:r>
        <w:t>- 3 -</w:t>
      </w:r>
    </w:p>
    <w:p>
      <w:r>
        <w:rPr>
          <w:b/>
        </w:rPr>
        <w:t>E. 2.3</w:t>
      </w:r>
    </w:p>
    <w:p>
      <w:r>
        <w:t>Die unentgeltliche Rechtsbeiständin steht zum Staat in einem öffentlich-recht- lichen Rechtsverhältnis, welches auch die Entschädigung der Rechtsbeiständin re- gelt (BSK ZPO-Rüegg/Rüegg, Art. 122 N 8). Diese ist in eigenem Namen zur Be- schwerde gegen den Entschädigungsentscheid legitimiert. Ebenso kann die be- dürftige Partei eine übersetzte Entschädigung ihrer Rechtbeiständin rügen (BSK ZPO-Rüegg/Rüegg, Art. 122 N 8). Hingegen ist die Gegenpartei nicht zur Be- schwerde legitimiert. Entgegen der Ansicht des Beklagten 1 schmälert die zuge- sprochene Akontozahlung auch nicht die Erbmassen, denn diese wird aus der Ge- richtskasse geleistet. Dem Beklagten 1 fehlt folglich das Rechtsschutzinteresse, weshalb auf seine Beschwerde nicht einzutreten ist.</w:t>
      </w:r>
    </w:p>
    <w:p>
      <w:r>
        <w:rPr>
          <w:b/>
        </w:rPr>
        <w:t>E. 3</w:t>
      </w:r>
    </w:p>
    <w:p>
      <w:r>
        <w:t>Die Entscheidgebühr für das Beschwerdeverfahren ist in Anwendung von § 9 Abs. 1 und § 12 Abs. 1 und Abs. 2 GebV OG auf Fr. 500.– festzusetzen und aus- gangsgemäss dem Beklagten 1 aufzuerlegen (Art. 106 Abs. 1 ZPO). Der Be- klagte 1 ersucht um Gewährung der unentgeltlichen Rechtspflege (Urk. 1 S. 1). Da sich seine Beschwerde jedoch – wie die vorstehenden Erwägungen zeigen – als aussichtslos erweist (vgl. Art. 117 lit. b ZPO), ist sein Gesuch abzuweisen. Partei- entschädigungen sind für das Beschwerdeverfahren keine zuzusprechen (Art. 95 Abs. 3 ZPO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