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RB230033 vom 16. September 2024</w:t>
      </w:r>
    </w:p>
    <w:p>
      <w:r>
        <w:t>ZH Obergericht, 2024-09-16, DE</w:t>
      </w:r>
    </w:p>
    <w:p>
      <w:r>
        <w:rPr>
          <w:b/>
        </w:rPr>
        <w:t xml:space="preserve">Quelle: </w:t>
      </w:r>
      <w:r>
        <w:t>https://mcp.opencaselaw.ch/entscheid/zh_obergericht_RB230033</w:t>
      </w:r>
    </w:p>
    <w:p>
      <w:r>
        <w:t>FR: ZH_OBERGERICHT RB230033 du 16 septembre 2024</w:t>
      </w:r>
    </w:p>
    <w:p>
      <w:r>
        <w:t>IT: ZH_OBERGERICHT RB230033 del 16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standen ab dem 10. November 2021 vor Erstinstanz in ei- nem Forderungsverfahren (vgl. Urk. 1 S. 1). Mit Eingabe vom 5. Juli 2023 (Urk. 34) reichte Rechtsanwalt lic. iur. X._____ namens der Klägerin und Beschwerdeführerin (fortan Klägerin) eine weder da- tierte noch unterzeichnete aussergerichtliche Vereinbarung der Parteien ein, aus welcher hervorgeht, dass die Klägerin sich verpflichtet, nach Eingang der Ver- gleichssumme von Fr. 40'000.– innerhalb von sieben Tagen die Betreibung zu- rückzuziehen und dem Bezirksgericht Zürich den Rückzug der Klage im Verfahren mitzuteilen (Urk. 35 S. 2 Ziff. 1.3 i.V.m. Ziff. 1.1). Mit Kurzbrief vom 6. Juli 2023 wurden der Beklagten und Beschwerdegeg- nerin (fortan Beklagte) die Doppel der Eingabe von Rechtsanwalt lic. iur. X._____ (Urk. 34 f.) zur Kenntnisnahme zugestellt (Urk. 36 f.). Mit Eingabe vom 14. Juli 2023 nahm die Beklagte zur Eingabe des Rechtsvertreters der Klägerin vom</w:t>
      </w:r>
    </w:p>
    <w:p>
      <w:r>
        <w:rPr>
          <w:b/>
        </w:rPr>
        <w:t>E. 5</w:t>
      </w:r>
    </w:p>
    <w:p>
      <w:r>
        <w:t>(Schriftliche Mitteilung.)</w:t>
      </w:r>
    </w:p>
    <w:p>
      <w:r>
        <w:t>- 3 -</w:t>
      </w:r>
    </w:p>
    <w:p>
      <w:r>
        <w:rPr>
          <w:b/>
        </w:rPr>
        <w:t>E. 6</w:t>
      </w:r>
    </w:p>
    <w:p>
      <w:r>
        <w:t>Die Gerichtskosten des Beschwerdeverfahrens sind ausgangsgemäss der Klägerin aufzuerlegen (Art. 106 Abs. 1 ZPO). Für das Beschwerdeverfahren ist von einem Streitwert von Fr. 7'000.– auszugehen, weshalb die zweitinstanzliche Entscheidgebühr in Anwendung von § 4 Abs. 1 und 2 sowie § 12 Abs. 1 und 2 GebV OG auf Fr. 900.– festzusetzen ist. Für das Beschwerdeverfahren sind so- dann keine Parteientschädigungen zuzusprechen, der Klägerin zufolge ihres Un-</w:t>
      </w:r>
    </w:p>
    <w:p>
      <w:r>
        <w:t>- 8 - terliegens, der Beklagten mangels relevanter Umtriebe (vgl. Art. 106 Abs. 1 ZPO und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