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RB230023 vom 17. November 2023</w:t>
      </w:r>
    </w:p>
    <w:p>
      <w:r>
        <w:t>ZH Obergericht, 2023-11-17, DE</w:t>
      </w:r>
    </w:p>
    <w:p>
      <w:r>
        <w:rPr>
          <w:b/>
        </w:rPr>
        <w:t xml:space="preserve">Quelle: </w:t>
      </w:r>
      <w:r>
        <w:t>https://mcp.opencaselaw.ch/entscheid/zh_obergericht_RB230023</w:t>
      </w:r>
    </w:p>
    <w:p>
      <w:r>
        <w:t>FR: ZH_OBERGERICHT RB230023 du 17 novembre 2023</w:t>
      </w:r>
    </w:p>
    <w:p>
      <w:r>
        <w:t>IT: ZH_OBERGERICHT RB230023 del 17 novembre 2023</w:t>
      </w:r>
    </w:p>
    <w:p>
      <w:pPr>
        <w:pStyle w:val="Heading2"/>
      </w:pPr>
      <w:r>
        <w:t>Erwägungen</w:t>
      </w:r>
    </w:p>
    <w:p>
      <w:r>
        <w:rPr>
          <w:b/>
        </w:rPr>
        <w:t>E. 1</w:t>
      </w:r>
    </w:p>
    <w:p>
      <w:r>
        <w:t>a) Die Parteien stehen seit 28. Mai 2021 vor Erstinstanz in einem Forde- rungsverfahren (Urk. 6/1 S. 1). Mit Beschluss vom 2. August 2023 entschied die Vorinstanz das Folgende (Urk. 6/89 S. 28 f. = Urk. 2 S. 28 f.): "1. Es wird festgestellt, dass die Klageantwort vom 15. November 2021 und die Klageantwortbeilagen fristgerecht erstattet wurden.</w:t>
      </w:r>
    </w:p>
    <w:p>
      <w:r>
        <w:rPr>
          <w:b/>
        </w:rPr>
        <w:t>E. 2</w:t>
      </w:r>
    </w:p>
    <w:p>
      <w:r>
        <w:t>Über die Kosten- und Entschädigungsfolgen dieses Entscheids wird im Endentscheid befunden.</w:t>
      </w:r>
    </w:p>
    <w:p>
      <w:r>
        <w:rPr>
          <w:b/>
        </w:rPr>
        <w:t>E. 3</w:t>
      </w:r>
    </w:p>
    <w:p>
      <w:r>
        <w:t>Schriftliche Mitteilung an die Parteien, je gegen Empfangsschein.</w:t>
      </w:r>
    </w:p>
    <w:p>
      <w:r>
        <w:rPr>
          <w:b/>
        </w:rPr>
        <w:t>E. 4</w:t>
      </w:r>
    </w:p>
    <w:p>
      <w:r>
        <w:t>Für das Beschwerdeverfahren werden keine Parteientschädigungen zuge- sprochen.</w:t>
      </w:r>
    </w:p>
    <w:p>
      <w:r>
        <w:rPr>
          <w:b/>
        </w:rPr>
        <w:t>E. 5</w:t>
      </w:r>
    </w:p>
    <w:p>
      <w:r>
        <w:t>Schriftliche Mitteilung an die Parteien, an den Beklagten unter Beilage der Doppel der Urk. 1, 3 und 4/2-6, sowie an die Vorinstanz, je gegen Emp- fangsschein.</w:t>
      </w:r>
    </w:p>
    <w:p>
      <w:r>
        <w:t>- 7 -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Streitigkeit. Der Streitwert der Hauptsa- che übersteigt Fr. 30'000.–. Die Beschwerde an das Bundesgericht hat keine aufschiebende Wirkung. Hinsichtlich des Fristenlaufs gelten die Art. 44 ff. BGG. Zürich, 17. November 2023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