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RB230008 vom 13. Februar 2023</w:t>
      </w:r>
    </w:p>
    <w:p>
      <w:r>
        <w:t>ZH Obergericht, 2023-02-13, DE</w:t>
      </w:r>
    </w:p>
    <w:p>
      <w:r>
        <w:rPr>
          <w:b/>
        </w:rPr>
        <w:t xml:space="preserve">Quelle: </w:t>
      </w:r>
      <w:r>
        <w:t>https://mcp.opencaselaw.ch/entscheid/zh_obergericht_RB230008</w:t>
      </w:r>
    </w:p>
    <w:p>
      <w:r>
        <w:t>FR: ZH_OBERGERICHT RB230008 du 13 février 2023</w:t>
      </w:r>
    </w:p>
    <w:p>
      <w:r>
        <w:t>IT: ZH_OBERGERICHT RB230008 del 13 febbraio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Umständehalber ist auf das Erheben von Gerichtskosten für das zweitin- stanzliche Verfahren zu verzichten. Parteientschädigungen sind keine zuzuspre- chen; den Beschwerdeführern nicht aufgrund ihres Unterliegens und der Be- schwerdegegnerin nicht mangels Aufwänden im vorliegenden Verfahren.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