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RB210028 vom 10. Januar 2022</w:t>
      </w:r>
    </w:p>
    <w:p>
      <w:r>
        <w:t>ZH Obergericht, 2022-01-10, DE</w:t>
      </w:r>
    </w:p>
    <w:p>
      <w:r>
        <w:rPr>
          <w:b/>
        </w:rPr>
        <w:t xml:space="preserve">Quelle: </w:t>
      </w:r>
      <w:r>
        <w:t>https://mcp.opencaselaw.ch/entscheid/zh_obergericht_RB210028</w:t>
      </w:r>
    </w:p>
    <w:p>
      <w:r>
        <w:t>FR: ZH_OBERGERICHT RB210028 du 10 janvier 2022</w:t>
      </w:r>
    </w:p>
    <w:p>
      <w:r>
        <w:t>IT: ZH_OBERGERICHT RB210028 del 10 gennaio 2022</w:t>
      </w:r>
    </w:p>
    <w:p>
      <w:pPr>
        <w:pStyle w:val="Heading2"/>
      </w:pPr>
      <w:r>
        <w:t>Erwägungen</w:t>
      </w:r>
    </w:p>
    <w:p>
      <w:r>
        <w:rPr>
          <w:b/>
        </w:rPr>
        <w:t>E. 1</w:t>
      </w:r>
    </w:p>
    <w:p>
      <w:r>
        <w:t>a) Der Aberkennungskläger und Beschwerdeführer (fortan Aberken- nungskläger) steht seit dem 25. August 2021 vor Vorinstanz in einem Aberken- nungsverfahren (Urk. 7/1 S. 1). Mit Verfügung vom 7. Oktober 2021 wies die Vo- rinstanz den Antrag des Aberkennungsklägers um Gewährung der unentgeltlichen Rechtspflege ab und setzte ihm eine Frist zur Leistung eines Kostenvorschusses für die Gerichtskosten in der Höhe von Fr. 6'800.– an (Urk. 2 = Urk. 7/16). Innert Frist (Urk. 7/17) erhob Rechtsanwalt lic. iur. X._____ namens des Ab- erkennungsklägers mit Eingabe vom 19. Oktober 2021 gegen die genannte Ver- fügung Beschwerde mit den folgenden Anträgen (Urk. 1 S. 2): " 1. Die Verfügung des Bezirksgerichtes Zürich, 4. Abteilung, vom 07.10.2021 sei rücksichtlich Disp. Ziff. 1 und 2 aufzuheben;</w:t>
      </w:r>
    </w:p>
    <w:p>
      <w:r>
        <w:rPr>
          <w:b/>
        </w:rPr>
        <w:t>E. 2</w:t>
      </w:r>
    </w:p>
    <w:p>
      <w:r>
        <w:t>Dem Aberkennungskläger und Beschwerdeführer sei die unentgelt- liche Rechtspflege sowie die unentgeltliche Rechtsverbeiständung zu gewähren, Letzteres in der Person des unterzeichneten Anwal- tes;</w:t>
      </w:r>
    </w:p>
    <w:p>
      <w:r>
        <w:rPr>
          <w:b/>
        </w:rPr>
        <w:t>E. 3</w:t>
      </w:r>
    </w:p>
    <w:p>
      <w:r>
        <w:t>Die genannte Rechtswohltat sei für das erstinstanzliche, sowie auch das zweitinstanzliche Verfahren zu gewähren, bzw. erfolgte im letztgenannten Verfahren hierdurch ein entsprechendes Ge- such;</w:t>
      </w:r>
    </w:p>
    <w:p>
      <w:r>
        <w:rPr>
          <w:b/>
        </w:rPr>
        <w:t>E. 4</w:t>
      </w:r>
    </w:p>
    <w:p>
      <w:r>
        <w:t>Der vorliegenden Beschwerde sei gegebenenfalls aufschiebende Wirkung zu verleihen und/bzw. sei das Verfahren ev. bis zur Klä- rung der Armenrechtsfrage zu sistieren;</w:t>
      </w:r>
    </w:p>
    <w:p>
      <w:r>
        <w:rPr>
          <w:b/>
        </w:rPr>
        <w:t>E. 5</w:t>
      </w:r>
    </w:p>
    <w:p>
      <w:r>
        <w:t>Das Beschwerdeverfahren ist kostenpflichtig, da die Kostenfreiheit im Ver- fahren um Gewährung der unentgeltlichen Rechtspflege gemäss höchstrichterli- cher Rechtsprechung nur für das Gesuchs-, nicht hingegen für das entsprechen- de Rechtsmittelverfahren gilt (BGer 2C_1231/2013 vom 3. Januar 2014, E. 3.4 m.w.H.). Der Streitwert der Hauptsache beträgt Fr. 66'269.95. Die zweitinstanzli- che Entscheidgebühr ist in Anwendung von § 9 Abs. 1 und § 12 Abs. 1 und 2 GebV OG auf Fr. 800.– festzusetzen und dem unterliegenden Aberkennungsklä- ger aufzuerlegen (Art. 106 Abs. 1 ZPO). Von der Zusprechung einer Parteient- schädigung ist abzusehen.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