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RB200021 vom 23. September 2020</w:t>
      </w:r>
    </w:p>
    <w:p>
      <w:r>
        <w:t>ZH Obergericht, 2020-09-23, DE</w:t>
      </w:r>
    </w:p>
    <w:p>
      <w:r>
        <w:rPr>
          <w:b/>
        </w:rPr>
        <w:t xml:space="preserve">Quelle: </w:t>
      </w:r>
      <w:r>
        <w:t>https://mcp.opencaselaw.ch/entscheid/zh_obergericht_RB200021</w:t>
      </w:r>
    </w:p>
    <w:p>
      <w:r>
        <w:t>FR: ZH_OBERGERICHT RB200021 du 23 septembre 2020</w:t>
      </w:r>
    </w:p>
    <w:p>
      <w:r>
        <w:t>IT: ZH_OBERGERICHT RB200021 del 23 settembre 2020</w:t>
      </w:r>
    </w:p>
    <w:p>
      <w:pPr>
        <w:pStyle w:val="Heading2"/>
      </w:pPr>
      <w:r>
        <w:t>Erwägungen</w:t>
      </w:r>
    </w:p>
    <w:p>
      <w:r>
        <w:rPr>
          <w:b/>
        </w:rPr>
        <w:t>E. 1</w:t>
      </w:r>
    </w:p>
    <w:p>
      <w:r>
        <w:t>a) Am 30. März 2020 reichte die Klägerin beim Bezirksgericht Hor- gen (Vorinstanz) eine negative Feststellungsklage nach Art. 85a SchKG ein mit dem Begehren auf Feststellung, dass die von der Beklagten mit der Betreibung Nr. ... des Betreibungsamtes Horgen (Zahlungsbefehl vom 19. Februar 2020) gel- tend gemachte Forderung von Fr. 44'865.35 nicht bestehe, und dem Begehren auf Aufhebung dieser Betreibung (Urk. 1). Die Klägerin leistete den von ihr ver- langten Gerichtskostenvorschuss von Fr. 5'140.-- (Urk. 4 und 6). Mit Verfügung vom 12. Mai 2020 stellte die Vorinstanz die Betreibung vorläufig ein und setzte der Beklagten Frist zur Klageantwort an (Urk. 7). Mit Eingabe vom 14. Mai 2020 erklärte die Beklagte den Rückzug der Betreibung (Urk. 10). Hierzu nahm die Klä- gerin am 29. Mai 2020 Stellung (Urk. 13), worauf die Beklagte am 9. Juni 2020 replizierte (Urk. 15). Mit Beschluss vom 17. August 2020 entschied die Vorinstanz (Urk. 17 = Urk.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