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RB200002 vom 1. Juli 2020</w:t>
      </w:r>
    </w:p>
    <w:p>
      <w:r>
        <w:t>ZH Obergericht, 2020-07-01, DE</w:t>
      </w:r>
    </w:p>
    <w:p>
      <w:r>
        <w:rPr>
          <w:b/>
        </w:rPr>
        <w:t xml:space="preserve">Quelle: </w:t>
      </w:r>
      <w:r>
        <w:t>https://mcp.opencaselaw.ch/entscheid/zh_obergericht_RB200002</w:t>
      </w:r>
    </w:p>
    <w:p>
      <w:r>
        <w:t>FR: ZH_OBERGERICHT RB200002 du 1 juillet 2020</w:t>
      </w:r>
    </w:p>
    <w:p>
      <w:r>
        <w:t>IT: ZH_OBERGERICHT RB200002 del 1 luglio 2020</w:t>
      </w:r>
    </w:p>
    <w:p>
      <w:pPr>
        <w:pStyle w:val="Heading2"/>
      </w:pPr>
      <w:r>
        <w:t>Erwägungen</w:t>
      </w:r>
    </w:p>
    <w:p>
      <w:r>
        <w:rPr>
          <w:b/>
        </w:rPr>
        <w:t>E. 8</w:t>
      </w:r>
    </w:p>
    <w:p>
      <w:r>
        <w:t>Nach dem Gesagten ist mit der Vorinstanz im Rahmen einer vorläufi- gen und summarischen Prüfung der Prozessaussichten davon auszugehen, dass die Klägerin als Alleinerbin von B._____ und Eigentümerin der mit streitgegen- ständlichem Schuldbrief belasteten Liegenschaft D._____-Weg ..., ... Winterthur, den Beklagten die im Schuldbrief verbriefte Forderung von Fr. 1'100'000.– schul- det, dass diese Forderung weder durch Vereinigung von Schuldner- und Gläubi-</w:t>
      </w:r>
    </w:p>
    <w:p>
      <w:r>
        <w:t>- 19 - gerstellung erloschen noch durch Verrechnung untergegangen ist sowie dass die Beklagten in Bezug auf den streitgegenständlichen Schuldbrief alleine verfü- gungsberechtigt sind. Die Aberkennungsklage erweist sich damit als aussichtslos im Sinne von Art. 117 lit. b ZPO, weshalb die Vor-instanz der Klägerin die unent- geltliche Rechtspflege zu Recht verwehrt hat. Die Beschwerde ist somit abzuwei- sen.</w:t>
      </w:r>
    </w:p>
    <w:p>
      <w:r>
        <w:rPr>
          <w:b/>
        </w:rPr>
        <w:t>E. 9</w:t>
      </w:r>
    </w:p>
    <w:p>
      <w:r>
        <w:t>Wie in der Verfügung vom 27. Januar 2020 festgehalten, ist der Klä- gerin nach Abweisung ihrer Beschwerde die Frist für die Leistung des vorinstanz- lichen Gerichtskostenvorschusses von Fr. 31'750.– neu anzusetzen (vgl. Urk. 7 S. 2). Die Klägerin ist darauf hinzuweisen, dass auf die Klage nicht eingetreten wird, wenn der Kostenvorschuss weder innerhalb dieser Frist noch innerhalb einer von der Vorinstanz noch anzusetzenden Nachfrist (Art. 101 Abs. 3 ZPO) bezahlt wird. 10.1 Das Beschwerdeverfahren ist im Gegensatz zum erstinstanzlichen Verfahren (Art. 119 Abs. 6 ZPO) nicht kostenlos (BGE 137 III 470 E. 6.5). Aus- gangsgemäss wird die Klägerin kostenpflichtig (Art. 106 Abs. 1 ZPO). Der Streit- wert der Hauptsache von Fr. 1'100'000.– ist Basis für die Entscheidgebühr, wel- che in Anwendung von § 12 Abs. 1 und Abs. 2 in Verbindung mit § 2 Abs. 1 lit. a, c und d sowie § 9 Abs. 1 GebV OG auf Fr. 3'000.– festzusetzen ist. 10.2 Entschädigungen sind keine zuzusprechen: Der Klägerin nicht, weil sie unterliegt, und dem Beschwerdegegner nicht, weil ihm keine Umtriebe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