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RB190022 vom 4. September 2019</w:t>
      </w:r>
    </w:p>
    <w:p>
      <w:r>
        <w:t>ZH Obergericht, 2019-09-04, DE</w:t>
      </w:r>
    </w:p>
    <w:p>
      <w:r>
        <w:rPr>
          <w:b/>
        </w:rPr>
        <w:t xml:space="preserve">Quelle: </w:t>
      </w:r>
      <w:r>
        <w:t>https://mcp.opencaselaw.ch/entscheid/zh_obergericht_RB190022</w:t>
      </w:r>
    </w:p>
    <w:p>
      <w:r>
        <w:t>FR: ZH_OBERGERICHT RB190022 du 4 septembre 2019</w:t>
      </w:r>
    </w:p>
    <w:p>
      <w:r>
        <w:t>IT: ZH_OBERGERICHT RB190022 del 4 settembre 2019</w:t>
      </w:r>
    </w:p>
    <w:p>
      <w:pPr>
        <w:pStyle w:val="Heading2"/>
      </w:pPr>
      <w:r>
        <w:t>Erwägungen</w:t>
      </w:r>
    </w:p>
    <w:p>
      <w:r>
        <w:rPr>
          <w:b/>
        </w:rPr>
        <w:t>E. 12</w:t>
      </w:r>
    </w:p>
    <w:p>
      <w:r>
        <w:t>März 2018 verlangten Kostenvorschusses von Fr. 9'930.– (Urk. 7/5; Urk. 7/7) setzte die Vorinstanz den Beklagten, Widerklägern und Beschwerdeführern (fort- an Beklagte) mit Verfügung vom 10. April 2018 Frist zum Erstatten der schriftli- chen Klageantwort an (Urk. 7/8). Innert dreimal erstreckter Frist ging am 17. Sep- tember 2018 die Klageantwort ein, mit welcher die Beklagten gleichzeitig um Lö- schung diverser, 2015 erfolgter Betreibungen (Betreibung Nrn. 2-7 des Betrei- bungsamtes F._____; Betreibung Nr. 8._____ [und weiteren, von den Beklagten nicht näher bezeichneten Betreibungs-Nrn.] des Betreibungsamtes H._____ in ...) ersuchten (Urk. 7/16 -Urk. 7/18/1-17). Hierauf setzte die Vorinstanz dem Kläger mit Verfügung vom 19. Dezember 2018 Frist zur Replik und Widerklageantwort an (Urk. 7/19). Innert zweimal erstreckter Frist verzichtete der Kläger mit Schreiben vom 8. März 2019 auf eine Replik. Gleichzeitig zeigte er an, die Löschung der im Jahre 2015 gegen die Beklagten eingeleiteten Betreibungen in die Wege zu lei- ten, wie dies die Beklagten beantragt hätten. Damit erübrige sich das Widerklage- verfahren (Urk. 7/23). Hierauf setzte die Vorinstanz den Beklagten mit Verfügung vom 12. März 2019 Frist zum Erstatten der Duplik und Widerklagereplik an (Urk. 7/24). Mit Schreiben vom 5. April 2019 zeigte der Kläger die Löschung der von den Beklagten genannten Betreibungen (Betreibung Nrn. 2-7 des Betreibungsam- tes F._____ und Nrn. 9 und 8._____ des Betreibungsamtes H._____) an (Urk. 7/26-27). Dies wurde den Beklagten mit Verfügung vom 10. April 2019 zur Kennt- nis gebracht; gleichzeitig wurde ihnen Frist zur Stellungnahme angesetzt (Urk. 7/28). Mit Verfügung vom 13. Mai 2019 wurde das Fristerstreckungsgesuch der</w:t>
      </w:r>
    </w:p>
    <w:p>
      <w:r>
        <w:t>- 3 - Beklagten zum Erstatten der Duplik und Wiederklagereplik letztmals bis zum 11. Juni 2019 erstreckt (Urk. 7/30). Mit Schreiben vom 14. Juni 2019 wurde den Be- klagten auf ihr Gesuch um eine weitere Fristerstreckung hin eine allerletzte Not- frist bis 1. Juli 2019 gewährt. Gleichzeitig wurde mitgeteilt, dass eine weitere Not- frist nicht gewährt werden könne und – bei Andauern der Arbeitsunfähigkeit des Rechtsvertreters der Beklagten (welcher zugleich Beklagter 4 ist) – ein ärztliches Zeugnis bezüglich Arbeitsunfähigkeit eines Amts- oder Bezirksarztes einzureichen sei (Urk. 7/36). Mit Schreiben vom 25. Juni 2019 ersuchte der beklagtische Rechtsvertreter wiederum um Gewährung einer Notfrist, dieses Mal bis zum 2. September 2019 (Urk. 7/38). Mit Verfügung vom 27. Juni 2019 entschied die Vo- rinstanz Folgendes (Urk. 7/41):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