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RB190021 vom 4. September 2019</w:t>
      </w:r>
    </w:p>
    <w:p>
      <w:r>
        <w:t>ZH Obergericht, 2019-09-04, DE</w:t>
      </w:r>
    </w:p>
    <w:p>
      <w:r>
        <w:rPr>
          <w:b/>
        </w:rPr>
        <w:t xml:space="preserve">Quelle: </w:t>
      </w:r>
      <w:r>
        <w:t>https://mcp.opencaselaw.ch/entscheid/zh_obergericht_RB190021</w:t>
      </w:r>
    </w:p>
    <w:p>
      <w:r>
        <w:t>FR: ZH_OBERGERICHT RB190021 du 4 septembre 2019</w:t>
      </w:r>
    </w:p>
    <w:p>
      <w:r>
        <w:t>IT: ZH_OBERGERICHT RB190021 del 4 settembre 2019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Juni 2015. Sodann beantragt sie die Löschung des betreffenden Betreibungs- registereintrages (Urk. 7/1 – Urk. 7/4/3-9). Nach Eingang des mit Verfügung vom 12. März 2018 verlangten Kostenvorschusses von Fr. 9'930.– (Urk. 7/5; Urk. 7/7) setzte die Vorinstanz den Beklagten, Widerklägern und Beschwerdeführern (fort- an Beklagte) mit Verfügung vom 10. April 2018 Frist zum Erstatten der schriftli- chen Klageantwort an (Urk. 7/8). Innert dreimal erstreckter Frist ging am 17. Sep- tember 2018 die Klageantwort ein, mit welcher die Beklagten gleichzeitig um Lö- schung diverser, 2015 erfolgter Betreibungen (Betreibung Nrn. 2-7 des Betrei- bungsamtes F._____; Betreibung Nrn. 8 [und weiteren, von den Beklagten nicht näher bezeichneten Betreibungs-Nrn.] des Betreibungsamtes H._____ in …) er- suchten (Urk. 7/16 -Urk. 7/18/1-17). Hierauf setzte die Vorinstanz der Klägerin mit Verfügung vom 19. Dezember 2018 Frist zur Replik und Widerklageantwort an (Urk. 7/19). Innert zweimal erstreckter Frist verzichtete die Klägerin mit Schreiben vom 8. März 2019 (Datum Poststempel: 10. März 2019) auf eine Replik. Gleich- zeitig zeigte sie an, die Löschung der im Jahre 2015 gegen die Beklagten einge- leiteten Betreibungen in die Wege zu leiten, wie dies die Beklagten beantragt hät- ten. Damit erübrige sich das Widerklageverfahren (Urk. 7/23). Hierauf setzte die Vorinstanz den Beklagten mit Verfügung vom 12. März 2019 Frist zum Erstatten der Duplik und Widerklagereplik an (Urk. 7/24). Mit Schreiben vom 5. April 2019 zeigte die Klägerin die Löschung der von den Beklagten genannten Betreibungen (Betreibung Nrn. 2-7 des Betreibungsamtes F._____ und Nrn. 9 und 8 des Betrei- bungsamtes H._____) an (Urk. 7/26-27). Dies wurde den Beklagten mit Verfü- gung vom 10. April 2019 zur Kenntnis gebracht; gleichzeitig wurde ihnen Frist zur Stellungnahme angesetzt (Urk. 7/28). Mit Verfügung vom 13. Mai 2019 wurde das</w:t>
      </w:r>
    </w:p>
    <w:p>
      <w:r>
        <w:t>- 3 - Fristerstreckungsgesuch der Beklagten zum Erstatten der Duplik und Wiederkla- gereplik letztmals bis zum 11. Juni 2019 erstreckt (Urk. 7/30). Mit Schreiben vom 14. Juni 2019 wurde den Beklagten auf ihr Gesuch um eine weitere Fristerstre- ckung hin eine allerletzte Notfrist bis 1. Juli 2019 gewährt. Gleichzeitig wurde mit- geteilt, dass eine weitere Notfrist nicht gewährt werden könne und – bei Andauern der Arbeitsunfähigkeit des Rechtsvertreters der Beklagten (welcher zugleich Be- klagter 4 ist) – ein ärztliches Zeugnis bezüglich Arbeitsunfähigkeit eines Amts- oder Bezirksarztes einzureichen sei (Urk. 7/36). Mit Schreiben vom 25. Juni 2019 ersuchte der beklagtische Rechtsvertreter wiederum um Gewährung einer Not- frist, dieses Mal bis zum 2. September 2019 (Urk. 7/38). Mit Verfügung vom 27. Juni 2019 entschied die Vorinstanz Folgendes (Urk. 7/41):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