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RB180037 vom 12. April 2019</w:t>
      </w:r>
    </w:p>
    <w:p>
      <w:r>
        <w:t>ZH Obergericht, 2019-04-12, DE</w:t>
      </w:r>
    </w:p>
    <w:p>
      <w:r>
        <w:rPr>
          <w:b/>
        </w:rPr>
        <w:t xml:space="preserve">Quelle: </w:t>
      </w:r>
      <w:r>
        <w:t>https://mcp.opencaselaw.ch/entscheid/zh_obergericht_RB180037</w:t>
      </w:r>
    </w:p>
    <w:p>
      <w:r>
        <w:t>FR: ZH_OBERGERICHT RB180037 du 12 avril 2019</w:t>
      </w:r>
    </w:p>
    <w:p>
      <w:r>
        <w:t>IT: ZH_OBERGERICHT RB180037 del 12 aprile 2019</w:t>
      </w:r>
    </w:p>
    <w:p>
      <w:pPr>
        <w:pStyle w:val="Heading2"/>
      </w:pPr>
      <w:r>
        <w:t>Erwägungen</w:t>
      </w:r>
    </w:p>
    <w:p>
      <w:r>
        <w:rPr>
          <w:b/>
        </w:rPr>
        <w:t>E. 16</w:t>
      </w:r>
    </w:p>
    <w:p>
      <w:r>
        <w:t>September 2016 (Urk. 3) eine Klage betreffend Ungültigkeit der beiden vom Bezirksgericht Winterthur am 19. Februar 2015 (Geschäfts-Nr. EL150039-K) und 11. Juni 2015 (Proz. Nr. EL150159-K) eröffneten Testamente der Erblasserin C._____, gestorben am tt.mm.2015, ein (Urk. 1). Mit Schreiben vom 27. August 2018 zog die Klägerin die Klage zurück (Urk. 51). Der detaillierte Prozessverlauf vor Vorinstanz kann dem angefochtenen Beschluss vom 25. Oktober 2018 ent- nommen werden (Urk. 66 S. 2 f., E. 1.-4.). 1.2 In der Folge entschied die Vorinstanz mit Beschluss vom 25. Oktober 2018 wie folgt (Urk. 61 = Urk. 66 S. 6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