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RB180015 vom 14. August 2018</w:t>
      </w:r>
    </w:p>
    <w:p>
      <w:r>
        <w:t>ZH Obergericht, 2018-08-14, DE</w:t>
      </w:r>
    </w:p>
    <w:p>
      <w:r>
        <w:rPr>
          <w:b/>
        </w:rPr>
        <w:t xml:space="preserve">Quelle: </w:t>
      </w:r>
      <w:r>
        <w:t>https://mcp.opencaselaw.ch/entscheid/zh_obergericht_RB180015</w:t>
      </w:r>
    </w:p>
    <w:p>
      <w:r>
        <w:t>FR: ZH_OBERGERICHT RB180015 du 14 août 2018</w:t>
      </w:r>
    </w:p>
    <w:p>
      <w:r>
        <w:t>IT: ZH_OBERGERICHT RB180015 del 14 agosto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Seit dem 16. Januar 2017 ist am Bezirksgericht Zürich (fortan Vorinstanz) eine Klage von A._____ (fortan Kläger) gegen die Baugenossenschaft B._____ (fortan Beklagte) rechtshängig (act. 5/1). In der Sache geht es um einen General- versammlungsbeschluss, mit welchem der Kläger aus der Genossenschaft aus- geschlossen wurde. Namentlich macht der Kläger geltend, anlässlich der Gene- ralversammlung vom 12. Mai 2016 habe Rechtsanwalt X._____, welcher als Ver- treter der Beklagten gehandelt habe, geäussert, der Kläger habe den objektiven Tatbestand der Erpressung erfüllt. Die Generalversammlung habe damit durch mutmasslich kriminelle Einflussnahme des Vertreters des Vorstandes entschie- den, weshalb der Beschluss über den Ausschluss des Klägers aus der Genos- senschaft aufzuheben, eventualiter als nichtig zu erklären sei. Weiter ersuchte der Kläger um Gewährung der unentgeltlichen Rechtspflege durch die Vorinstanz (act. 5/2).</w:t>
      </w:r>
    </w:p>
    <w:p>
      <w:r>
        <w:rPr>
          <w:b/>
        </w:rPr>
        <w:t>E. 1.2</w:t>
      </w:r>
    </w:p>
    <w:p>
      <w:r>
        <w:t>Mit Beschluss vom 20. Februar 2017 wies die Vorinstanz das Gesuch des Klägers um Gewährung der unentgeltlichen Rechtspflege infolge Aussichtslosig- keit ab (act. 5/7). Gegen die Nichtgewährung der unentgeltlichen Rechtspflege erhob der Kläger Beschwerde, welche durch die Kammer mit Entscheid vom</w:t>
      </w:r>
    </w:p>
    <w:p>
      <w:r>
        <w:rPr>
          <w:b/>
        </w:rPr>
        <w:t>E. 1.3</w:t>
      </w:r>
    </w:p>
    <w:p>
      <w:r>
        <w:t>Mit Eingabe vom 13. April 2018 stellte der Kläger der Vorinstanz folgende Anträge (act. 5/34): 1. Die Zahlungsfrist sei dem Klägerin einstweilen abzunehmen und neu anzusetzen. 2. Die Sicherheitsleistung für die Beklagte sei von Amtes wegen, eventualiter im Sinne einer Wiedererwägung aufzuheben even- tualiter neu zu evaluieren.</w:t>
      </w:r>
    </w:p>
    <w:p>
      <w:r>
        <w:t>- 4 -</w:t>
      </w:r>
    </w:p>
    <w:p>
      <w:r>
        <w:rPr>
          <w:b/>
        </w:rPr>
        <w:t>E. 3</w:t>
      </w:r>
    </w:p>
    <w:p>
      <w:r>
        <w:t>Der Streitwert sei im Sinne einer Wiedererwägung neu zu evaluie- ren eventualiter sei das Gesuch um UP neu zu evaluieren, even- tualiter das Beweisergebnis im Fall CP 170007 abzuwarten und dann neu zu evaluieren.</w:t>
      </w:r>
    </w:p>
    <w:p>
      <w:r>
        <w:rPr>
          <w:b/>
        </w:rPr>
        <w:t>E. 4</w:t>
      </w:r>
    </w:p>
    <w:p>
      <w:r>
        <w:t>Das Gericht habe dem Kläger genau zu bezeichnen, wo der Bar- vorschuss zu bezahlen ist und dem Kläger eine Liste mit Instituten auszuhändigen, welche Garantien i.S.v. Art. 100 Abs. 2 ZPO an- bieten. Am 19. April 2018 setzte die Vorinstanz die Nachfrist zum vierten Mal an, mit der folgenden Verfügung (act. 3 = 4 = 5/36, nachfolgend zitiert als act. 4):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