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RB180009 vom 17. April 2018</w:t>
      </w:r>
    </w:p>
    <w:p>
      <w:r>
        <w:t>ZH Obergericht, 2018-04-17, DE</w:t>
      </w:r>
    </w:p>
    <w:p>
      <w:r>
        <w:rPr>
          <w:b/>
        </w:rPr>
        <w:t xml:space="preserve">Quelle: </w:t>
      </w:r>
      <w:r>
        <w:t>https://mcp.opencaselaw.ch/entscheid/zh_obergericht_RB180009</w:t>
      </w:r>
    </w:p>
    <w:p>
      <w:r>
        <w:t>FR: ZH_OBERGERICHT RB180009 du 17 avril 2018</w:t>
      </w:r>
    </w:p>
    <w:p>
      <w:r>
        <w:t>IT: ZH_OBERGERICHT RB180009 del 17 aprile 2018</w:t>
      </w:r>
    </w:p>
    <w:p>
      <w:pPr>
        <w:pStyle w:val="Heading2"/>
      </w:pPr>
      <w:r>
        <w:t>Erwägungen</w:t>
      </w:r>
    </w:p>
    <w:p>
      <w:r>
        <w:rPr>
          <w:b/>
        </w:rPr>
        <w:t>E. 1</w:t>
      </w:r>
    </w:p>
    <w:p>
      <w:r>
        <w:t>a) Am 14. Juni 2017 reichte der Kläger beim Bezirksgericht Zürich gegen die Beklagte und gegen zwei weitere Personen eine Feststellungs-, Unter- lassungs- und Beseitigungsklage gestützt auf Art. 28a ZGB ein (Urk. 2; samt Kla- gebewilligung vom 29. März 2017, Urk. 1). Mit Verfügung vom 20. Juli 2017 wurde die ursprünglich dem Einzelgericht zugeteilte Klage an das Kollegialgericht (Vor- instanz) überwiesen (Urk. 8 = Urk. 12). Nach Einholung von Unterlagen zu den fi- nanziellen Verhältnissen des Klägers und einer Ergänzung der Klagebegründung (Urk. 14, Urk. 19-24) wurde dessen Gesuch um unentgeltliche Rechtspflege mit Verfügung vom 5. Januar 2018 abgewiesen (Urk. 25). Mit Verfügung vom 9. Feb- ruar 2018 wurde dem Kläger Frist zur Leistung eines Gerichtskostenvorschusses von Fr. 2'000.-- angesetzt (Urk. 27). Mit Eingabe vom 13. Februar 2018 erklärte der Kläger sinngemäss den Rückzug der Klage (Urk. 29). Die Vorinstanz schrieb schliesslich mit Beschluss vom 20. Februar 2018 das Verfahren als durch Klage- rückzug erledigt ab, auferlegte die Gerichtskosten von Fr. 400.-- dem Kläger und sprach der Beklagten keine Parteientschädigung zu (Urk. 31 = Urk. 38). b) Am 19. März 2018 hat der Kläger eine Beschwerde eingereicht und stellt die Beschwerdeanträge (Urk. 36 S. 2): "1. Die Unentgeltliche Rechtspflege für die Beschwerdeverhandlung beim Obergericht sei zu genehmigen.</w:t>
      </w:r>
    </w:p>
    <w:p>
      <w:r>
        <w:rPr>
          <w:b/>
        </w:rPr>
        <w:t>E. 2</w:t>
      </w:r>
    </w:p>
    <w:p>
      <w:r>
        <w:t>Die Unentgeltliche Rechtspflege für die Persönlichkeitsverletzungs-Kla- ge gegen die 3 Beklagten in Sache CG170069-L/U - CG170070-L/U - CG170071-L/U sei ebenfalls gemäss Art. 117 und 118 ZPO zu geneh- migen.</w:t>
      </w:r>
    </w:p>
    <w:p>
      <w:r>
        <w:rPr>
          <w:b/>
        </w:rPr>
        <w:t>E. 3</w:t>
      </w:r>
    </w:p>
    <w:p>
      <w:r>
        <w:t>a) Das Beschwerdeverfahren beschlägt eine nicht vermögensrecht- liche Streitigkeit. Die zweitinstanzliche Entscheidgebühr ist in Anwendung von § 5 Abs. 1 in Verbindung mit § 12 der Gerichtsgebührenverordnung auf Fr. 500.-- festzusetzen.</w:t>
      </w:r>
    </w:p>
    <w:p>
      <w:r>
        <w:t>- 4 - b) Die Gerichtskosten des Beschwerdeverfahrens sind ausgangsgemäss dem Kläger aufzuerlegen (Art. 106 Abs. 1 ZPO). c) Der Kläger hat ein Gesuch um unentgeltliche Rechtspflege für das Be- schwerdeverfahren gestellt (Urk. 36 S. 2, Urk. 38). Ein Anspruch auf unentgeltli- che Rechtspflege setzt neben der Mittellosigkeit auch voraus, dass die Rechtsbe- gehren nicht aussichtslos erscheinen (Art. 117 lit. b ZPO). Die Beschwerde ist je- doch als aussichtslos anzusehen (vgl. vorstehende Erwägungen), weshalb das Gesuch um unentgeltliche Rechtspflege abzuweisen ist. d) Für das Beschwerdeverfahren sind keine Parteientschädigungen zuzu- sprechen, dem Kläger zufolge seines Unterliegens, der Beklagten mangels rele- vanter Umtriebe (Art. 95 Abs. 3, Art. 106 Abs. 1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