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RB180006 vom 13. Juni 2018</w:t>
      </w:r>
    </w:p>
    <w:p>
      <w:r>
        <w:t>ZH Obergericht, 2018-06-13, DE</w:t>
      </w:r>
    </w:p>
    <w:p>
      <w:r>
        <w:rPr>
          <w:b/>
        </w:rPr>
        <w:t xml:space="preserve">Quelle: </w:t>
      </w:r>
      <w:r>
        <w:t>https://mcp.opencaselaw.ch/entscheid/zh_obergericht_RB180006</w:t>
      </w:r>
    </w:p>
    <w:p>
      <w:r>
        <w:t>FR: ZH_OBERGERICHT RB180006 du 13 juin 2018</w:t>
      </w:r>
    </w:p>
    <w:p>
      <w:r>
        <w:t>IT: ZH_OBERGERICHT RB180006 del 13 giugno 2018</w:t>
      </w:r>
    </w:p>
    <w:p>
      <w:pPr>
        <w:pStyle w:val="Heading2"/>
      </w:pPr>
      <w:r>
        <w:t>Erwägungen</w:t>
      </w:r>
    </w:p>
    <w:p>
      <w:r>
        <w:rPr>
          <w:b/>
        </w:rPr>
        <w:t>E. 1</w:t>
      </w:r>
    </w:p>
    <w:p>
      <w:r>
        <w:t>a) Im Verfahren betreffend Klage auf Eintragung eines definitiven Bau- handwerkerpfandrechtes setzte die Vorinstanz mit Beschluss vom 8. Juni 2015 gestützt auf Art. 98 ZPO der Klägerin und Beschwerdegegnerin (fortan Klägerin) Frist an, um für die Gerichtskosten bei der Bezirksgerichtskasse Zürich einen Kostenvorschuss von Fr. 31'100.– zu leisten (Urk. 7). Innert Nachfrist (Urk. 9, Urk. 10/1) ging dieser bei der Vorinstanz ein (Urk. 11). Mit Beschluss vom 15. Dezember 2017 entschied die Vorinstanz das Fol- gende (Urk. 60 S. 6 ff.): " 1. Das Verfahren wird als durch Rückzug der Klage erledigt abge- schrieben.</w:t>
      </w:r>
    </w:p>
    <w:p>
      <w:r>
        <w:rPr>
          <w:b/>
        </w:rPr>
        <w:t>E. 2</w:t>
      </w:r>
    </w:p>
    <w:p>
      <w:r>
        <w:t>Die Entscheidgebühr wird auf Fr. 15'600.– festgesetzt. Allfällige weitere Kosten bleiben vorbehalten.</w:t>
      </w:r>
    </w:p>
    <w:p>
      <w:r>
        <w:rPr>
          <w:b/>
        </w:rPr>
        <w:t>E. 3</w:t>
      </w:r>
    </w:p>
    <w:p>
      <w:r>
        <w:t>Die Gerichtskosten werden der Klägerin auferlegt und mit dem von ihr geleisteten Kostenvorschuss in der Höhe von Fr. 31'100.– ver- rechnet. Der Überschuss wird der Klägerin zurückerstattet.</w:t>
      </w:r>
    </w:p>
    <w:p>
      <w:r>
        <w:rPr>
          <w:b/>
        </w:rPr>
        <w:t>E. 4</w:t>
      </w:r>
    </w:p>
    <w:p>
      <w:r>
        <w:t>Der Kostenentscheid im summarischen Verfahren ES150002 (Dis- positivziffer 3. des Urteils der Audienzrichterin am Bezirksgericht Zürich vom 5. März 2015) wird als definitiv bestätigt.</w:t>
      </w:r>
    </w:p>
    <w:p>
      <w:r>
        <w:rPr>
          <w:b/>
        </w:rPr>
        <w:t>E. 5</w:t>
      </w:r>
    </w:p>
    <w:p>
      <w:r>
        <w:t>Die Gerichtskosten des Beschwerdeverfahrens sind ausgangsgemäss der Beklagten aufzuerlegen (Art. 106 Abs. 1 ZPO). Die Entscheidgebühr ist gestützt auf § 4 Abs. 1 und 2 sowie § 12 Abs. 1 und 2 GebV OG auf Fr. 2'000.– festzuset- zen. Mangels wesentlicher Umtriebe ist der Klägerin für das Beschwerdeverfah- 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