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RB150013 vom 15. Juni 2015</w:t>
      </w:r>
    </w:p>
    <w:p>
      <w:r>
        <w:t>ZH Obergericht, 2015-06-15, DE</w:t>
      </w:r>
    </w:p>
    <w:p>
      <w:r>
        <w:rPr>
          <w:b/>
        </w:rPr>
        <w:t xml:space="preserve">Quelle: </w:t>
      </w:r>
      <w:r>
        <w:t>https://mcp.opencaselaw.ch/entscheid/zh_obergericht_RB150013</w:t>
      </w:r>
    </w:p>
    <w:p>
      <w:r>
        <w:t>FR: ZH_OBERGERICHT RB150013 du 15 juin 2015</w:t>
      </w:r>
    </w:p>
    <w:p>
      <w:r>
        <w:t>IT: ZH_OBERGERICHT RB150013 del 15 giugno 2015</w:t>
      </w:r>
    </w:p>
    <w:p>
      <w:pPr>
        <w:pStyle w:val="Heading2"/>
      </w:pPr>
      <w:r>
        <w:t>Erwägungen</w:t>
      </w:r>
    </w:p>
    <w:p>
      <w:r>
        <w:rPr>
          <w:b/>
        </w:rPr>
        <w:t>E. 1</w:t>
      </w:r>
    </w:p>
    <w:p>
      <w:r>
        <w:t>Sachverhalt und Prozessgeschichte</w:t>
      </w:r>
    </w:p>
    <w:p>
      <w:r>
        <w:rPr>
          <w:b/>
        </w:rPr>
        <w:t>E. 1.1</w:t>
      </w:r>
    </w:p>
    <w:p>
      <w:r>
        <w:t>Die Kläger/Beschwerdeführer (nachfolgend Kläger) und die Beklag- ten/Beschwerdegegner (nachfolgend Beklagten) standen sich in einem Erbtei- lungsprozess vor dem Bezirksgericht Horgen (nachfolgend Vorinstanz) gegenüber (act. 2). Da sich die Parteien u.a. über den Verkehrswert diverser in der Gemein- de F._____ liegenden Grundstücke (Kat. Nr. …, Kat. Nr. …, Kat. Nr. … und Kat. Nr. …) uneinig waren, beantragten sie übereinstimmend die Durchführung von Verkehrswertschätzungen. Mit Verfügung vom 12. Dezember 2013 wurde den Parteien G._____, dipl. Architekt FH/SIA, als Sachverständiger (nachfolgend Gut- achter) vorgeschlagen, mit welchem sich die Parteien auch einverstanden erklär- ten (act. 19 und act. 23). Gleichzeitig wurde den Parteien Frist zur Leistung eines Vorschusses für das Gutachten von einstweilen je Fr. 3'500.– angesetzt (act. 17). Mit Verfügung vom 7. Februar 2014 ernannte die Vorinstanz G._____ als Gutach- ter und wies ihn mit separatem Schreiben auf seine Pflichten hin (act. 26; act. 28).</w:t>
      </w:r>
    </w:p>
    <w:p>
      <w:r>
        <w:rPr>
          <w:b/>
        </w:rPr>
        <w:t>E. 1.2</w:t>
      </w:r>
    </w:p>
    <w:p>
      <w:r>
        <w:t>Das Gutachten vom 23. Juni 2014 ging am 27. Juni 2014 bei der Vor- instanz ein (act. 33). Im Auftrag der Vorinstanz ergänzte der Gutachter sein Gut- achten (act. 35). Am 16. Juli 2014 reichte der Gutachter eine Rechnung in Höhe von Fr. 9'627.20 ein (act. 34). Mit Verfügung vom 17. Juli 2014 wurden das Gut- achten und dessen Ergänzung sowie die soeben erwähnte Rechnung den Partei- en zugestellt und Frist angesetzt, um zum Gutachten und dessen Ergänzung Stel- lung zu nehmen sowie die Ergänzung oder Erläuterung derselben zu beantragen (act. 36). Auf Begehren der Beklagten (act. 38) forderte die Vorinstanz mit Verfü- gung vom 30. September 2014 den Gutachter auf, den seiner Honorarnote zu- grunde liegenden Aufwand detaillierter darzustellen (act. 43). Dieser Aufforderung kam der Gutachter nach (act. 47) und seine detaillierte Kostennote wurde den Parteien zur Kenntnisnahme zugestellt (act. 48).</w:t>
      </w:r>
    </w:p>
    <w:p>
      <w:r>
        <w:rPr>
          <w:b/>
        </w:rPr>
        <w:t>E. 1.3</w:t>
      </w:r>
    </w:p>
    <w:p>
      <w:r>
        <w:t>Die Parteien wurden von der Vorinstanz auf den 18. März 2015 zur In- struktionsverhandlung mit Ergänzung und Erläuterung des Gutachtens durch den Gutachter vorgeladen (act. 48). Anlässlich der Verhandlung schlossen die Partei-</w:t>
      </w:r>
    </w:p>
    <w:p>
      <w:r>
        <w:t>- 3 - en unter Mitwirkung des Gerichts einen Vergleich (act. 53). In Bezug auf die Ge- richtskosten vereinbarten die Parteien, diese je zur Hälfte zu übernehmen (act. 53 Ziff. 7). Für die schriftliche und mündliche Erläuterung reichte der Gutachter schliesslich eine Honorarnote von Fr. 1'123.20 sowie eine Nebenkostenabrech- nung von Fr. 67.– ein (act. 56 A und act. 56 B). Mit Beschluss vom 23. März 2015 schrieb die Vorinstanz das Verfahren ab und entschied in Bezug auf die Kosten was folgt (act. 57): "2. Die Gerichtsgebühr wird festgesetzt auf: Fr. 9'000.00 ; die weiteren Kosten betragen: Fr. 10'817.40 Gutachterkosten Fr. 19'817.40 Kosten total</w:t>
      </w:r>
    </w:p>
    <w:p>
      <w:r>
        <w:rPr>
          <w:b/>
        </w:rPr>
        <w:t>E. 3</w:t>
      </w:r>
    </w:p>
    <w:p>
      <w:r>
        <w:t>Die Kosten werden zur einen Hälfte solidarisch den Klägern und zur anderen Hälfte solidarisch den Beklagten auferlegt. Den Klägern wer- den somit je Fr. 3'302.90 und den Beklagten je Fr. 4'954.35 auferlegt. Die Kosten werden mit dem geleisteten Vorschuss verrechnet. Es wird festgestellt, dass der Kläger 1 einen Vorschuss in der Höhe von Fr. 21'500.– und der Beklagte 2 einen solchen von Fr. 3'500.– geleistet hat. Dem Kläger 1 wird gegenüber den Klägern 2 und 3 ein Rückgriffs- recht in der Höhe von Fr. 3'302.90, gegenüber dem Beklagten 1 ein solches in der Höhe von Fr. 4'954.35 und gegenüber dem Beklagten 2 ein solches in der Höhe von Fr. 1'454.35 eingeräumt. Der zu viel be- zahlte Kostenvorschuss wird dem Kläger 1 zurückerstattet." Dieser Beschluss wurde den Klägern am 25. März 2015 (act. 58/1) zugestellt. Mit Eingabe vom 13. April 2015 (Datum Poststempel) erhoben sie rechtzeitig Be- schwerde und stellten folgendes Rechtsbegehren (act. 64 S. 2): " Es sei Dispositiv 2 des Urteils des Bezirksgerichts Horgen betreffend Gutachterkosten über CHF 10'817.40 aufzuheben und es sei ein ange- messenes Honorar festzusetzen unter Berücksichtigung der Mangelhaf- tigkeit des Gutachtens von Architekt G._____. Das Bezirksgericht Hor- gen habe den allenfalls zu viel ausbezahlten Betrag beim Architekten</w:t>
      </w:r>
    </w:p>
    <w:p>
      <w:r>
        <w:t>- 4 - G._____ zurückzufordern und den Beschwerdeführern anteilmässig auszuzahlen. Eventualiter sei den Beschwerdeführern das Recht einzu- räumen, direkt bei Architekt G._____ einen zu viel ausbezahlten Betrag zurück zu fordern. Alles unter Kosten und Entschädigungsfolgen gemäss den gesetzlichen Bestimmungen." Im vorliegenden Beschwerdeverfahren werden die Kläger neu von Rechtsanwalt lic. iur. B._____, der ebenfalls Kläger ist, vertreten. Den Kostenvorschuss von Fr. 1'200.– für das Beschwerdeverfahren leisteten die Kläger auf erste Aufforde- rung hin (act. 68; act. 70). Die Akten der Vorinstanz wurden beigezogen (act. 1- 62). Auf eine Beschwerdeantwort wurde in Anwendung von Art. 322 Abs. 1 ZPO verzichtet. Das Verfahren ist spruchreif. 2. Rechtliche Vorbemerkungen 2.1. Der gerichtliche Entscheid über die Entschädigung einer sachverständi- gen Person bzw. die Prozesskosten, wozu auch die Kosten der Beweisführung gehören (Art. 95 Abs. 1 lit. a und Abs. 2 lit. c ZPO), ist mit Beschwerde anfechtbar (Art. 110 und Art. 184 Abs. 3 ZPO). Es handelt sich dabei um eine Kostenbe- schwerde und somit um einen Anwendungsfall von Art. 319 lit. b Ziff. 1 ZPO. Das Erfordernis des Vorliegens eines nicht leicht wiedergutzumachenden Nachteils entfällt daher (BK ZPO-Rüetschi, Art. 184 N 16; OGer ZH, PF130035 vom</w:t>
      </w:r>
    </w:p>
    <w:p>
      <w:r>
        <w:rPr>
          <w:b/>
        </w:rPr>
        <w:t>E. 5</w:t>
      </w:r>
    </w:p>
    <w:p>
      <w:r>
        <w:t>Zur Aufhebung der Gutachterkosten</w:t>
      </w:r>
    </w:p>
    <w:p>
      <w:r>
        <w:rPr>
          <w:b/>
        </w:rPr>
        <w:t>E. 5.1</w:t>
      </w:r>
    </w:p>
    <w:p>
      <w:r>
        <w:t>Aus dem Vorangehenden ergibt sich, dass vorliegend lediglich auf die klägerischen Vorbringen einzugehen ist, die sich (sinngemäss) auf die Aufhebung der Gutachterkosten beziehen (vgl. E. 4.2. oben). Es handelt sich dabei um fol- gende Einwände: Die Kläger bringen vor, die im Gutachten angegebenen Distanzangaben und die wiedergegebene Infrastruktur seien falsch. Die Arztpraxis von Dr. H._____ und die … F._____ würden sich nicht im Dorfzentrum, sondern an der Peripherie be- finden, und es gebe nicht mehrere Regionalbanken, sondern nur eine (act. 64 S. 12 f.). Im Zusammenhang mit dem Lageklasseschlüssel kritisieren die Kläger sodann, die positiv zu wertende Besonnung bleibe im Gutachten unerwähnt. Hin- sichtlich Angebot und Nachfrage in der Gemeinde F._____ könne der Vertreter im vorliegenden Verfahren aus eigener Erfahrung berichten, dass kein Angebot, aber eine grosse Nachfrage bestehe (act. 64 S. 13). Bei der Anwendung der Zeitwerte sei dem Gutachter zudem ein systematischer Fehler unterlaufen, indem er die Umbauinvestitionen nicht berücksichtigt habe, obwohl diese einen bedeutsamen Teil des Umbaus ausmachen würden (act. 64 S. 17). Ausserdem habe der Gut- achter eine unbrauchbare Bewertungsmethode verwendet bzw. diese falsch an- gewandt. Dadurch versuche der Gutachter seinen Fehler zu vertuschen (act. 64 S. 14 f., S. 17 f.). Schliesslich verletze die Schätzung die Grundsätze der Voll- ständigkeit (act. 64 S. 15) sowie der Unparteilichkeit (act. 64 S. 15 f., S. 17, S. 18, S. 19). Zur Begründung für Letzteres führen die Kläger jeweils an, der Mangel wirke sich zu ihren Lasten aus (act. 64 S. 16 f., S. 18).</w:t>
      </w:r>
    </w:p>
    <w:p>
      <w:r>
        <w:rPr>
          <w:b/>
        </w:rPr>
        <w:t>E. 5.2</w:t>
      </w:r>
    </w:p>
    <w:p>
      <w:r>
        <w:t>Zum Gutachten bzw. dessen Inhalt äusserten sich die Kläger vor Vor- instanz nur insofern, als sie Erläuterungs- sowie Ergänzungsfragen an den Gut- achter stellten (act. 46). Diese wurden anlässlich der Instruktionsverhandlung vom 18. März 2015 durch den Gutachter sowohl mündlich als auch schriftlich beant- wortet (vgl. Prot. Vi S. 10 und act. 52). Nach erfolgter Erläuterung bzw. Ergänzung erachteten die Kläger das Gutachten offenbar nach wie vor als unvollständig, un- klar, nicht gehörig begründet oder unbrauchbar, sonst würden sie diese Rügen heute nicht vorbringen. Die im Beschwerdeverfahren geltend gemachten Einwän-</w:t>
      </w:r>
    </w:p>
    <w:p>
      <w:r>
        <w:t>- 9 - de hätten die Kläger aber (zuerst) vor Vorinstanz vorbringen und begründen müs- sen. Sie hätten sich zuerst mit einem neuen Antrag auf Ergänzung und Erläute- rung zur Wehr setzen oder die inhaltliche Prüfung des Gutachtens durch ein wei- teres Gutachten beantragen können (vgl. Art. 188 Abs. 2 ZPO). Dass dies ge- schah, ist nicht aktenkundig. Bei den klägerischen Vorbringen in der Beschwerde- schrift handelt es sich daher um neue Tatsachenbehauptungen. Neues ist auf- grund der im Beschwerdeverfahren geltenden Novenbeschränkung nicht mehr zu berücksichtigen (Art. 326 Abs. 1 ZPO). Demzufolge können vorliegend Einwände gegen das Gutachten nicht mehr nachgeholt werden und sind sie nicht zu berück- sichtigen. Dies führt zur Abweisung der Beschwerde. Da – wie eingangs erläutert – auf den Antrag auf angemessene Herabsetzung nicht einzutreten ist (vgl. E. 4.2. oben), sind die diesbezüglichen Einwände auch nicht zu berücksichtigen. Am Rande sei aber dennoch erwähnt, dass Gesagtes auch in Bezug auf die Einwände gegen das Gutachterhonorar gelten würde.</w:t>
      </w:r>
    </w:p>
    <w:p>
      <w:r>
        <w:rPr>
          <w:b/>
        </w:rPr>
        <w:t>E. 5.3</w:t>
      </w:r>
    </w:p>
    <w:p>
      <w:r>
        <w:t>Selbst wenn die unter Ziffer 5.1. hiervor aufgezeigten (neuen) Einwände zulässig wären, so vermochten die Kläger keine Aufhebungsgründe rechtsgenü- gend darzutun. Die klägerische Aussage, das Gutachten sei nicht vollständig, er- weist sich als pauschale Kritik (vgl. act. 64 S. 15). Die Kläger zeigen nicht auf, aus welchen Gründen das Gutachten unvollständig sein soll. Inwiefern die falschen Distanzangaben und die falsche Infrastruktur sowie der falsche Lageklasse- schlüssel das Gutachten unbrauchbar machen sollten und sich eine Aufhebung der Gutachterkosten rechtfertigen würde (vgl. act. 64 S. 12 f.), begründen die Klä- ger ebenfalls nicht. Weiter ist den Klägern zu entgegnen, dass sich eine Aufhe- bung der Gutachterkosten allein wegen der fehlenden Angabe der Besonnung nicht rechtfertigen liesse, zumal die für die Bewertung der Lage der Liegenschaft entscheidenden Punkte (unverbaubare Sicht, ruhige Lage, gute Fernsicht, geringe Immissionen) explizit erwähnt werden (vgl. act. 33 S. 9 f.). Zudem erweisen sich die weiteren Ausführungen zu den Marktverhältnissen (Angebot und Nachfrage) als pauschale Behauptungen. Was den systemischen Fehler und die Bewer- tungsmethode anbelangt, so argumentieren die Kläger stets ohne Bezugnahme auf die Auswirkungen auf das Gutachten bzw. die Gutachterkosten (vgl. act. 64</w:t>
      </w:r>
    </w:p>
    <w:p>
      <w:r>
        <w:t>- 10 - S. 14 f., S. 17 f.). Schliesslich begnügen sich die Kläger die Parteilichkeit des Gutachters daraus abzuleiten, dass sich die behaupteten Mängel zu ihrem Nach- teil auswirken, was einen unzulässigen Zirkelschluss darstellt und als Begründung für die Aufhebung der Gutachterkosten nicht genügt. Im Übrigen führen die Kläger nur am Ende ihrer Beschwerde sinngemäss aus, dass sie das Gutachten als un- brauchbar erachten. Sie geben diesbezüglich lediglich an, mit der Bezahlung ei- nes Gutachterhonorars wären sie einverstanden, wenn es sich bei der Arbeit des Gutachters um eine sachdienliche und brauchbare Schätzung handeln würde (act. 64 S. 19). Dass dies nicht der Fall wäre und für diese Arbeit überhaupt nichts geschuldet sein sollte, tun sie nicht dar. Insgesamt wäre es daher den Klägern mit ihren Vorbringen ohnehin nicht gelungen, qualifizierte Mängel bzw. Gründe darzu- tun, die das Gutachten unbrauchbar erscheinen lassen und die ersatzlose Aufhe- bung des Gutachterhonorars rechtfertigen würden (vgl. E. 2.3. S. 7). Auch wenn es sich bei diesen Behauptungen nicht um unbeachtliche Noven handeln würde, wäre die Beschwerde somit abzuweisen.</w:t>
      </w:r>
    </w:p>
    <w:p>
      <w:r>
        <w:rPr>
          <w:b/>
        </w:rPr>
        <w:t>E. 6</w:t>
      </w:r>
    </w:p>
    <w:p>
      <w:r>
        <w:t>Prozesskosten Bei diesem Ausgang des Verfahrens haben die Kläger die Gerichtskosten des Beschwerdeverfahrens zu tragen (Art. 106 Abs. 1 ZPO, Art. 95 Abs. 1 lit. a ZPO). Die Entscheidgebühr ist beim gegebenen Streitwert von Fr. 10'817.40 in Anwen- dung von §§ 4 und 12 GebV OG auf Fr. 1'200.– festzusetzen. Mangels Umtrieben ist den Beklagten keine Parteientschädigung zuzusprechen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