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RB140002 vom 3. Februar 2014</w:t>
      </w:r>
    </w:p>
    <w:p>
      <w:r>
        <w:t>ZH Obergericht, 2014-02-03, DE</w:t>
      </w:r>
    </w:p>
    <w:p>
      <w:r>
        <w:rPr>
          <w:b/>
        </w:rPr>
        <w:t xml:space="preserve">Quelle: </w:t>
      </w:r>
      <w:r>
        <w:t>https://mcp.opencaselaw.ch/entscheid/zh_obergericht_RB140002</w:t>
      </w:r>
    </w:p>
    <w:p>
      <w:r>
        <w:t>FR: ZH_OBERGERICHT RB140002 du 3 février 2014</w:t>
      </w:r>
    </w:p>
    <w:p>
      <w:r>
        <w:t>IT: ZH_OBERGERICHT RB140002 del 3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25. Oktober 2012 leitete die Klägerin gegen die Beklagte beim Bezirksgericht Zürich (Vorinstanz) eine Forderungsklage auf Zahlung von CHF 1'156'969.40 ein, als Prosequierung der Arreste Nr. … des Bezirksgerichts Kreuzlingen vom 2. Oktober 2012 und Nr. … des Bezirksgerichts Uster (Vi-Urk. 1, 3/18 und 23/2). Am 13. Januar 2014 beantragte die Beklagte der Vorinstanz als superprovisorische vorsorgliche Massnahme, das Betreibungsamt C._____ sei anzuweisen, die für den 5. März 2014 vorgesehene Versteigerung bestimmter Liegenschaften der Beklagten "aufzuheben" etc. (Vi-Urk. 33). Mit Beschluss vom 16. Januar 2014 wies die Vorinstanz das Gesuch der Beklagten um Anordnung superprovisorischer Massnahmen ab und setzte der Klägerin Frist zur Stellung- nahme zum Gesuch um Anordnung vorsorglicher Massnahmen an (Vi-Urk. 38 = Urk. 2). b) Hiergegen hat die Beklagte am 23. Januar 2014 fristgerecht (Vi-Urk. 39/1) Beschwerde erhoben und stellt die Beschwerdeanträge (Urk. 1 S 1 f.): "Es sei der Antrag der Gesuchstellerin um superprovisorische Maβnahmen zu genehmigen, nämlich dem Betreibungsamt C._____ anzuweisen bei dem Freihandverkauf die Stimme von RA X._____ nicht zu berücksichtigen und Erlös des Freihandverkaufs nach der Tilgung der Grundpfandgläubiger wäh- rend des Verfahrens beim Bezirksgericht Zürich (CG 120123) bei der geeinig- ten Stelle zu deponieren." c) Die vorinstanzlichen Akten wurden beigezogen. Da sich die Beschwer- de sogleich als offensichtlich unbegründet bzw. unzulässig erweist, kann auf die Einholung einer Beschwerdeantwort verzichtet werden (Art. 322 Abs. 1 ZPO).</w:t>
      </w:r>
    </w:p>
    <w:p>
      <w:r>
        <w:rPr>
          <w:b/>
        </w:rPr>
        <w:t>E. 2</w:t>
      </w:r>
    </w:p>
    <w:p>
      <w:r>
        <w:t>Die Beschwerde der Beklagten richtet sich gegen die vorinstanzliche Abweisung ihres Begehrens um Erlass superprovisorischer Massnahmen (das Massnahmeverfahren wird dagegen weitergeführt). Die Vorinstanz hat gegen ih-</w:t>
      </w:r>
    </w:p>
    <w:p>
      <w:r>
        <w:t>- 3 - ren Beschluss, mit dem sie ebendiesen Antrag auf Erlass superprovisorischer Massnahmen abgewiesen hat, kein Rechtsmittel belehrt (vgl. Urk. 2 S. 4). Dies zu Recht, denn gegen erstinstanzliche Entscheide betreffend superprovisorische Massnahmen gibt es kein Rechtsmittel (BGE 137 III 417 Erw. 1.3; Sutter-Somm/ Hasenböhler/Leuenberger [Hrsg.], Kommentar zur Schweizerischen Zivilprozess- ordnung, 2. A. 2013, N 20 zu Art. 265 ZPO; Brunner/Gasser/Schwander [Hrsg.], ZPO-Kommentar, N 12 zu Art. 265 ZPO; Spühler/Tenchio/Infanger [Hrsg.], BS- Kommentar, N 32 zu Art. 265 ZPO). Auf die Beschwerde der Beklagten ist daher nicht einzutreten.</w:t>
      </w:r>
    </w:p>
    <w:p>
      <w:r>
        <w:rPr>
          <w:b/>
        </w:rPr>
        <w:t>E. 3</w:t>
      </w:r>
    </w:p>
    <w:p>
      <w:r>
        <w:t>a) Die Entscheidgebühr für das Beschwerdeverfahren ist angesichts des Streitwertes der Hauptsache von CHF 1'156'969.40 auf CHF 1'000.-- festzu- setzen (§ 9 und § 12 der Gerichtsgebührenverordnung). b) Die Gerichtskosten des Beschwerdeverfahrens sind ausgangsgemäss der Beklagten aufzuerlegen (Art. 106 Abs. 1 ZPO). c) Für das Beschwerdeverfahren hat die Beklagte zufolge ihres Unterlie- gens keinen Anspruch auf eine Entschädigung; der Klägerin erwuchs kein erheb- licher Aufwand. Demgemäss sind für das Beschwerdeverfahren keine Parteient- schädigungen zuzusprechen.</w:t>
      </w:r>
    </w:p>
    <w:p>
      <w:r>
        <w:rPr>
          <w:b/>
        </w:rPr>
        <w:t>E. 4</w:t>
      </w:r>
    </w:p>
    <w:p>
      <w:r>
        <w:t>Ob das Bundesgericht auf eine Beschwerde gegen diesen Entscheid eintreten würde, erscheint fraglich (BGE 137 III 417), ist jedoch von diesem zu entscheiden.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