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RB120046 vom 18. Oktober 2012</w:t>
      </w:r>
    </w:p>
    <w:p>
      <w:r>
        <w:t>ZH Obergericht, 2012-10-18, DE</w:t>
      </w:r>
    </w:p>
    <w:p>
      <w:r>
        <w:rPr>
          <w:b/>
        </w:rPr>
        <w:t xml:space="preserve">Quelle: </w:t>
      </w:r>
      <w:r>
        <w:t>https://mcp.opencaselaw.ch/entscheid/zh_obergericht_RB120046</w:t>
      </w:r>
    </w:p>
    <w:p>
      <w:r>
        <w:t>FR: ZH_OBERGERICHT RB120046 du 18 octobre 2012</w:t>
      </w:r>
    </w:p>
    <w:p>
      <w:r>
        <w:t>IT: ZH_OBERGERICHT RB120046 del 18 ottobre 2012</w:t>
      </w:r>
    </w:p>
    <w:p>
      <w:pPr>
        <w:pStyle w:val="Heading2"/>
      </w:pPr>
      <w:r>
        <w:t>Erwägungen</w:t>
      </w:r>
    </w:p>
    <w:p>
      <w:r>
        <w:rPr>
          <w:b/>
        </w:rPr>
        <w:t>E. 1</w:t>
      </w:r>
    </w:p>
    <w:p>
      <w:r>
        <w:t>a) Mit Präsidialverfügung vom 25. September 2012 verfügte die Vor- instanz das Folgende (Urk. 3/6 S. 2 f.): "1. Der klagenden Partei wird eine Frist von 10 Tagen ab Zustellung dieses Ent- scheids angesetzt, um für die Gerichtskosten bei der Bezirksgerichtskasse Meilen (80-7340-5) einen einstweiligen Kostenvorschuss von CHF 10'700.– zu leisten. Der Kostenvorschuss kann bei der Bezirksgerichtskasse in bar oder durch Überweisung auf das Postkonto (Postkonto 80-7340-5/IBAN: CH92 0900 0000 8000 7340 5) geleistet werden. Wird für die Zahlung die schweizerische Post benützt, so ist spätestens am letzten Tag der Frist die Sendung bei der schweizerischen Post aufzugeben, der Betrag einzuzahlen oder der Giroauftrag zu erteilen. Bei Sammelaufträ- gen mit Datenträgern SAD ist die Frist gewahrt, wenn der Datenträger inner- halb der Frist der schweizerischen Post übergeben wird und darauf als Fällig- keitsdatum ein Tag bestimmt wird, der innerhalb der zweitätigen Bearbei- tungszeit der schweizerischen Post liegt. Die Rechtzeitigkeit ist im Zweifelsfal- le von der vorschusspflichtigen Partei nachzuweisen. Bei Zahlungsauftrag an eine Bank ist dafür zu sorgen, dass diese den Auftrag frühzeitig ausführt.</w:t>
      </w:r>
    </w:p>
    <w:p>
      <w:r>
        <w:rPr>
          <w:b/>
        </w:rPr>
        <w:t>E. 2</w:t>
      </w:r>
    </w:p>
    <w:p>
      <w:r>
        <w:t>Die weitere Prozessleitung wird an Bezirksrichterin lic. iur. B. Stingel dele- giert.</w:t>
      </w:r>
    </w:p>
    <w:p>
      <w:r>
        <w:rPr>
          <w:b/>
        </w:rPr>
        <w:t>E. 3</w:t>
      </w:r>
    </w:p>
    <w:p>
      <w:r>
        <w:t>(Schriftliche Mitteilung.)</w:t>
      </w:r>
    </w:p>
    <w:p>
      <w:r>
        <w:rPr>
          <w:b/>
        </w:rPr>
        <w:t>E. 4</w:t>
      </w:r>
    </w:p>
    <w:p>
      <w:r>
        <w:t>a) Bei diesem Ausgang des Verfahrens sind die Kosten der Beklagten aufzuerlegen (Art. 103 ZPO i.V.m. Art. 106 Abs. 1 ZPO). Die zweitinstanzliche Gerichtsgebühr ist in Anwendung von § 9 Abs. 2 in Verbindung mit § 12 GebV OG auf Fr. 500.– festzusetzen. b) Dem Kläger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