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RA250008 vom 20. Oktober 2025</w:t>
      </w:r>
    </w:p>
    <w:p>
      <w:r>
        <w:t>ZH Obergericht, 2025-10-20, DE</w:t>
      </w:r>
    </w:p>
    <w:p>
      <w:r>
        <w:rPr>
          <w:b/>
        </w:rPr>
        <w:t xml:space="preserve">Quelle: </w:t>
      </w:r>
      <w:r>
        <w:t>https://mcp.opencaselaw.ch/entscheid/zh_obergericht_RA250008</w:t>
      </w:r>
    </w:p>
    <w:p>
      <w:r>
        <w:t>FR: ZH_OBERGERICHT RA250008 du 20 octobre 2025</w:t>
      </w:r>
    </w:p>
    <w:p>
      <w:r>
        <w:t>IT: ZH_OBERGERICHT RA250008 del 20 ottobre 2025</w:t>
      </w:r>
    </w:p>
    <w:p>
      <w:pPr>
        <w:pStyle w:val="Heading2"/>
      </w:pPr>
      <w:r>
        <w:t>Erwägungen</w:t>
      </w:r>
    </w:p>
    <w:p>
      <w:r>
        <w:rPr>
          <w:b/>
        </w:rPr>
        <w:t>E. 3</w:t>
      </w:r>
    </w:p>
    <w:p>
      <w:r>
        <w:t>Abteilung, vom 22. September 2025 (AN250050-L)</w:t>
      </w:r>
    </w:p>
    <w:p>
      <w:r>
        <w:t>- 2 - Nach Einsicht in die Beschwerde der Beklagten vom 3. Oktober 2025, mit der sie die Aufhebung des angefochtenen Beschlusses vom 22. September 2025 und die Rückweisung der Sache mit der Anweisung an die Vorinstanz beantragt, dass diese den Kläger zu verpflichten habe, ihr die mutmassliche Prozessentschädigung von Fr. 11'025.00 (inkl. 8.1 % Mehrwertsteuer) sicherzustellen (Urk. 1 S. 2), in der Erwägung, dass zur Ergreifung einer Beschwerde nur legitimiert ist, wer durch den angefoch- tenen Entscheid formell und materiell beschwert ist (OGer ZH PF210021 vom 13. Juli 2021 E. 2.2.1 m.w.H.), dass die Vorinstanz mit dem angefochtenen Beschluss vom 22. September 2025 der Beklagten lediglich Kenntnis über das Verfahren gab, dem Kläger Frist zur Leis- tung eines Kostenvorschusses ansetzte und die Prozessleitung an den Präsidenten Dr. R. Schöning delegierte (Urk. 2 Dispositiv-Ziffern 1 bis 3), weshalb die Beklagte durch den angefochtenen Beschluss nicht beschwert ist und auf die Beschwerde nicht einzutreten ist (Art. 59 Abs. 2 lit a ZPO, der auch im Beschwerdeverfahren Anwendung findet; BGer 5D_14/2020 vom 28. Oktober 2020 E. 4.3.1), dass die Beklagte vor Vorinstanz zudem keinen Antrag auf Sicherstellung ihrer Par- teientschädigung stellte, womit es sich um einen im Beschwerdeverfahren unzuläs- sigen neuen Antrag handelt (Art. 326 Abs. 1 ZPO), dass im Übrigen nicht zu beanstanden ist, dass die Vorinstanz die mutmassliche Parteientschädigung der Beklagten nicht von Amtes wegen sicherstellte, bzw. Ge- legenheit gab, einen Antrag auf Sicherstellung der Parteientschädigung zu stellen (vgl. Urk 1 N 15), weil es zur Sicherstellung der Parteientschädigung eines entspre- chenden initiativen Antrags bedarf (Art. 99 Abs. 1 ZPO), dass die Prozesskosten des Beschwerdeverfahrens ausgangsgemäss der Be- klagten aufzuerlegen sind (Art. 106 Abs. 1 ZPO) und die Entscheidgebühr unter Berücksichtigung des Streitwerts von Fr. 11'025.00 (Urk. 1 S. 2) und in Anwen-</w:t>
      </w:r>
    </w:p>
    <w:p>
      <w:r>
        <w:t>- 3 - dung von § 12 Abs. 1 und 2 i.V.m. § 4 Abs. 1 und 2 GebV OG auf Fr. 500.– fest- zusetzen ist, dass der Beklagten infolge ihres Unterliegens (Art. 106 Abs. 1 ZPO) und dem Klä- ger mangels relevanter Umtriebe (Art. 95 Abs. 3 ZPO) für das Beschwerdeverfah- ren keine Parteientschädigung zuzusprechen ist,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