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RA230009 vom 1. März 2024</w:t>
      </w:r>
    </w:p>
    <w:p>
      <w:r>
        <w:t>ZH Obergericht, 2024-03-01, DE</w:t>
      </w:r>
    </w:p>
    <w:p>
      <w:r>
        <w:rPr>
          <w:b/>
        </w:rPr>
        <w:t xml:space="preserve">Quelle: </w:t>
      </w:r>
      <w:r>
        <w:t>https://mcp.opencaselaw.ch/entscheid/zh_obergericht_RA230009</w:t>
      </w:r>
    </w:p>
    <w:p>
      <w:r>
        <w:t>FR: ZH_OBERGERICHT RA230009 du 1 mars 2024</w:t>
      </w:r>
    </w:p>
    <w:p>
      <w:r>
        <w:t>IT: ZH_OBERGERICHT RA230009 del 1 marzo 2024</w:t>
      </w:r>
    </w:p>
    <w:p>
      <w:pPr>
        <w:pStyle w:val="Heading2"/>
      </w:pPr>
      <w:r>
        <w:t>Erwägungen</w:t>
      </w:r>
    </w:p>
    <w:p>
      <w:r>
        <w:rPr>
          <w:b/>
        </w:rPr>
        <w:t>E. 1</w:t>
      </w:r>
    </w:p>
    <w:p>
      <w:r>
        <w:t>a) Im arbeitsrechtlichen Verfahren der Parteien entschied die Vorinstanz mit Urteil vom 28. August 2023 folgendermassen (Urk. 99 S. 40 f. = Urk. 104 S. 40 f.): "1. Der Beklagte wird verpflichtet, der Klägerin CHF 20'585.45 nebst Zins zu 5 % seit 15. Oktober 2021 zu bezahlen. Im Mehrbetrag wird die Klage abgewiesen.</w:t>
      </w:r>
    </w:p>
    <w:p>
      <w:r>
        <w:rPr>
          <w:b/>
        </w:rPr>
        <w:t>E. 2</w:t>
      </w:r>
    </w:p>
    <w:p>
      <w:r>
        <w:t>Es werden keine Kosten erhoben.</w:t>
      </w:r>
    </w:p>
    <w:p>
      <w:r>
        <w:rPr>
          <w:b/>
        </w:rPr>
        <w:t>E. 3</w:t>
      </w:r>
    </w:p>
    <w:p>
      <w:r>
        <w:t>Der Beklagte wird verpflichtet, der Klägerin eine Parteientschädi- gung von Fr. 5'694.65 (inkl. Mehrwertsteuer) zu bezahlen.</w:t>
      </w:r>
    </w:p>
    <w:p>
      <w:r>
        <w:rPr>
          <w:b/>
        </w:rPr>
        <w:t>E. 4</w:t>
      </w:r>
    </w:p>
    <w:p>
      <w:r>
        <w:t>Schriftliche Mitteilung an die Parteien.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- 6 - Art. 113 ff. (subsidiäre Verfassungsbeschwerde) in Verbindung mit Art. 42 des Bundesgesetzes über das Bundesgericht (BGG). Dies ist ein Endentscheid im Sinne von Art. 90 BGG. Es handelt sich um eine vermögensrechtliche arbeitsrechtliche Angelegenheit. Der Streitwert beträgt Fr. 1'762.50. Die Beschwerde an das Bundesgericht hat keine aufschiebende Wirkung. Hinsichtlich des Fristenlaufs gelten die Art. 44 ff. BGG. Zürich, 1. März 2024 Obergericht des Kantons Zürich I. Zivilkammer Der Vorsitzende: Der Gerichtsschreiber: lic. iur. A. Huizinga lic. iur. A. Baumgartner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